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line="124" w:lineRule="exact"/>
        <w:rPr>
          <w:rFonts w:ascii="Times New Roman" w:hAnsi="Times New Roman"/>
          <w:sz w:val="24"/>
          <w:szCs w:val="24"/>
        </w:rPr>
      </w:pPr>
      <w:bookmarkStart w:name="page1" w:id="0"/>
      <w:bookmarkEnd w:id="0"/>
      <w:r>
        <w:drawing xmlns:a="http://schemas.openxmlformats.org/drawingml/2006/main">
          <wp:anchor distT="0" distB="0" distL="0" distR="0" simplePos="0" relativeHeight="251654144" behindDoc="1" locked="0" layoutInCell="1" allowOverlap="1">
            <wp:simplePos x="0" y="0"/>
            <wp:positionH relativeFrom="page">
              <wp:posOffset>4653915</wp:posOffset>
            </wp:positionH>
            <wp:positionV relativeFrom="page">
              <wp:posOffset>133983</wp:posOffset>
            </wp:positionV>
            <wp:extent cx="1752600" cy="490856"/>
            <wp:effectExtent l="0" t="0" r="0" b="0"/>
            <wp:wrapNone/>
            <wp:docPr id="1073741826" name="officeArt object" descr="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.png" descr="imag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49085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spacing w:line="20" w:lineRule="atLeast"/>
        <w:ind w:left="232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Мембранный элемент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MBAQ-4021</w:t>
      </w:r>
    </w:p>
    <w:p>
      <w:pPr>
        <w:pStyle w:val="Normal.0"/>
        <w:spacing w:line="200" w:lineRule="exac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line="307" w:lineRule="exac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line="20" w:lineRule="atLeast"/>
        <w:ind w:left="36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Краткое руководство</w:t>
      </w:r>
    </w:p>
    <w:p>
      <w:pPr>
        <w:pStyle w:val="Normal.0"/>
        <w:spacing w:line="364" w:lineRule="exac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line="315" w:lineRule="auto"/>
        <w:ind w:left="360" w:right="266" w:firstLine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Этот недавно разработанный мембранный элемент из ароматического полиамидного соединения сверхнизкого давления может работать под сверхнизким давлением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чтобы достичь такого же высокого потока пермеата и отбраковки соли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и обычный мембранный элемент низкого давления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применим для опреснения поверхностных и подземных вод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Он работает примерно под двумя третями рабочего давления обычных композитных мембран низкого давления и обеспечивает скорость отбраковки соли до </w:t>
      </w:r>
      <w:r>
        <w:rPr>
          <w:rFonts w:ascii="Times New Roman" w:hAnsi="Times New Roman"/>
          <w:sz w:val="28"/>
          <w:szCs w:val="28"/>
          <w:rtl w:val="0"/>
        </w:rPr>
        <w:t xml:space="preserve">99,5%,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способствует снижению инвестиционных затрат на такие соответствующие объекты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насосы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трубопроводы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контейнеры и т</w:t>
      </w:r>
      <w:r>
        <w:rPr>
          <w:rFonts w:ascii="Times New Roman" w:hAnsi="Times New Roman"/>
          <w:sz w:val="28"/>
          <w:szCs w:val="28"/>
          <w:rtl w:val="0"/>
        </w:rPr>
        <w:t>.</w:t>
      </w:r>
      <w:r>
        <w:rPr>
          <w:rFonts w:ascii="Times New Roman" w:hAnsi="Times New Roman" w:hint="default"/>
          <w:sz w:val="28"/>
          <w:szCs w:val="28"/>
          <w:rtl w:val="0"/>
        </w:rPr>
        <w:t>д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эксплуатационные расходы для системы обратного осмоса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таким образом повышая экономическую эффективность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Normal.0"/>
        <w:spacing w:line="200" w:lineRule="exac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line="389" w:lineRule="exac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Будучи пригодными для обессоливания источников воды с концентрацией соли ниже </w:t>
      </w:r>
      <w:r>
        <w:rPr>
          <w:rFonts w:ascii="Times New Roman" w:hAnsi="Times New Roman"/>
          <w:sz w:val="28"/>
          <w:szCs w:val="28"/>
          <w:rtl w:val="0"/>
        </w:rPr>
        <w:t xml:space="preserve">2000 ppm,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таких как поверхностные воды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подземные воды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водопроводная вода и муниципальная вода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эти недавно разработанные мембранные элементы в основном предназначены для многочисленных применений различных масштабов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таких как очистка воды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пополнение котловой воды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переработка пищевых продуктов и фармацевтическое производство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</w:rPr>
      </w:pPr>
    </w:p>
    <w:p>
      <w:pPr>
        <w:pStyle w:val="Normal.0"/>
        <w:spacing w:line="317" w:lineRule="auto"/>
        <w:ind w:left="360" w:right="266" w:firstLine="0"/>
        <w:jc w:val="both"/>
        <w:rPr>
          <w:rFonts w:ascii="Times New Roman" w:cs="Times New Roman" w:hAnsi="Times New Roman" w:eastAsia="Times New Roman"/>
          <w:sz w:val="21"/>
          <w:szCs w:val="21"/>
        </w:rPr>
      </w:pPr>
    </w:p>
    <w:p>
      <w:pPr>
        <w:pStyle w:val="Normal.0"/>
        <w:spacing w:line="20" w:lineRule="exact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1"/>
          <w:szCs w:val="21"/>
        </w:rPr>
        <w:drawing xmlns:a="http://schemas.openxmlformats.org/drawingml/2006/main">
          <wp:anchor distT="0" distB="0" distL="0" distR="0" simplePos="0" relativeHeight="251655168" behindDoc="1" locked="0" layoutInCell="1" allowOverlap="1">
            <wp:simplePos x="0" y="0"/>
            <wp:positionH relativeFrom="column">
              <wp:posOffset>160017</wp:posOffset>
            </wp:positionH>
            <wp:positionV relativeFrom="line">
              <wp:posOffset>177164</wp:posOffset>
            </wp:positionV>
            <wp:extent cx="5379721" cy="27307"/>
            <wp:effectExtent l="0" t="0" r="0" b="0"/>
            <wp:wrapNone/>
            <wp:docPr id="1073741827" name="officeArt object" descr="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.png" descr="image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9721" cy="2730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spacing w:line="343" w:lineRule="exact"/>
        <w:rPr>
          <w:rFonts w:ascii="Times New Roman" w:cs="Times New Roman" w:hAnsi="Times New Roman" w:eastAsia="Times New Roman"/>
          <w:sz w:val="24"/>
          <w:szCs w:val="24"/>
        </w:rPr>
      </w:pPr>
    </w:p>
    <w:tbl>
      <w:tblPr>
        <w:tblW w:w="8460" w:type="dxa"/>
        <w:jc w:val="left"/>
        <w:tblInd w:w="58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80"/>
        <w:gridCol w:w="280"/>
        <w:gridCol w:w="1540"/>
        <w:gridCol w:w="340"/>
        <w:gridCol w:w="220"/>
        <w:gridCol w:w="1740"/>
        <w:gridCol w:w="1660"/>
        <w:gridCol w:w="1600"/>
      </w:tblGrid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10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en-US"/>
              </w:rPr>
              <w:t>Модель</w:t>
            </w:r>
          </w:p>
        </w:tc>
        <w:tc>
          <w:tcPr>
            <w:tcW w:type="dxa" w:w="2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5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36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56" w:firstLine="0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1"/>
                <w:szCs w:val="21"/>
                <w:shd w:val="nil" w:color="auto" w:fill="auto"/>
                <w:rtl w:val="0"/>
                <w:lang w:val="ru-RU"/>
              </w:rPr>
              <w:t>Активная</w:t>
            </w:r>
          </w:p>
        </w:tc>
        <w:tc>
          <w:tcPr>
            <w:tcW w:type="dxa" w:w="3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960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76"/>
            </w:tcMar>
            <w:vAlign w:val="bottom"/>
          </w:tcPr>
          <w:p>
            <w:pPr>
              <w:pStyle w:val="Normal.0"/>
              <w:spacing w:line="20" w:lineRule="atLeast"/>
              <w:ind w:right="196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1"/>
                <w:szCs w:val="21"/>
                <w:shd w:val="nil" w:color="auto" w:fill="auto"/>
                <w:rtl w:val="0"/>
                <w:lang w:val="ru-RU"/>
              </w:rPr>
              <w:t>Средняя проницаемость</w:t>
            </w:r>
          </w:p>
        </w:tc>
        <w:tc>
          <w:tcPr>
            <w:tcW w:type="dxa" w:w="166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4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60" w:firstLine="0"/>
              <w:rPr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1"/>
                <w:szCs w:val="21"/>
                <w:shd w:val="nil" w:color="auto" w:fill="auto"/>
                <w:rtl w:val="0"/>
                <w:lang w:val="ru-RU"/>
              </w:rPr>
              <w:t>Стабильная</w:t>
            </w:r>
          </w:p>
          <w:p>
            <w:pPr>
              <w:pStyle w:val="Normal.0"/>
              <w:bidi w:val="0"/>
              <w:spacing w:line="20" w:lineRule="atLeast"/>
              <w:ind w:left="6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1"/>
                <w:szCs w:val="21"/>
                <w:shd w:val="nil" w:color="auto" w:fill="auto"/>
                <w:rtl w:val="0"/>
                <w:lang w:val="ru-RU"/>
              </w:rPr>
              <w:t>отбраковка</w:t>
            </w:r>
          </w:p>
        </w:tc>
        <w:tc>
          <w:tcPr>
            <w:tcW w:type="dxa" w:w="160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1"/>
                <w:szCs w:val="21"/>
                <w:shd w:val="nil" w:color="auto" w:fill="auto"/>
                <w:rtl w:val="0"/>
              </w:rPr>
              <w:t>Мин</w:t>
            </w:r>
            <w:r>
              <w:rPr>
                <w:rFonts w:ascii="Times New Roman" w:hAnsi="Times New Roman"/>
                <w:b w:val="1"/>
                <w:bCs w:val="1"/>
                <w:sz w:val="21"/>
                <w:szCs w:val="21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b w:val="1"/>
                <w:bCs w:val="1"/>
                <w:sz w:val="21"/>
                <w:szCs w:val="21"/>
                <w:shd w:val="nil" w:color="auto" w:fill="auto"/>
                <w:rtl w:val="0"/>
                <w:lang w:val="ru-RU"/>
              </w:rPr>
              <w:t>отбраковка</w:t>
            </w:r>
          </w:p>
        </w:tc>
      </w:tr>
      <w:tr>
        <w:tblPrEx>
          <w:shd w:val="clear" w:color="auto" w:fill="ced7e7"/>
        </w:tblPrEx>
        <w:trPr>
          <w:trHeight w:val="226" w:hRule="atLeast"/>
        </w:trPr>
        <w:tc>
          <w:tcPr>
            <w:tcW w:type="dxa" w:w="108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880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70"/>
            </w:tcMar>
            <w:vAlign w:val="bottom"/>
          </w:tcPr>
          <w:p>
            <w:pPr>
              <w:pStyle w:val="Normal.0"/>
              <w:spacing w:line="20" w:lineRule="atLeast"/>
              <w:ind w:right="90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1"/>
                <w:szCs w:val="21"/>
                <w:shd w:val="nil" w:color="auto" w:fill="auto"/>
                <w:rtl w:val="0"/>
                <w:lang w:val="ru-RU"/>
              </w:rPr>
              <w:t>область мембраны</w:t>
            </w:r>
          </w:p>
        </w:tc>
        <w:tc>
          <w:tcPr>
            <w:tcW w:type="dxa" w:w="1960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660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600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26" w:hRule="atLeast"/>
        </w:trPr>
        <w:tc>
          <w:tcPr>
            <w:tcW w:type="dxa" w:w="1080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880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74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496"/>
            </w:tcMar>
            <w:vAlign w:val="bottom"/>
          </w:tcPr>
          <w:p>
            <w:pPr>
              <w:pStyle w:val="Normal.0"/>
              <w:spacing w:line="20" w:lineRule="atLeast"/>
              <w:ind w:right="416"/>
              <w:jc w:val="center"/>
            </w:pPr>
            <w:r>
              <w:rPr>
                <w:rFonts w:ascii="Times New Roman" w:hAnsi="Times New Roman"/>
                <w:sz w:val="21"/>
                <w:szCs w:val="21"/>
                <w:shd w:val="nil" w:color="auto" w:fill="auto"/>
                <w:rtl w:val="0"/>
                <w:lang w:val="de-DE"/>
              </w:rPr>
              <w:t>GPD(m</w:t>
            </w:r>
            <w:r>
              <w:rPr>
                <w:rFonts w:ascii="Times New Roman" w:hAnsi="Times New Roman"/>
                <w:sz w:val="27"/>
                <w:szCs w:val="27"/>
                <w:shd w:val="nil" w:color="auto" w:fill="auto"/>
                <w:vertAlign w:val="superscript"/>
                <w:rtl w:val="0"/>
              </w:rPr>
              <w:t>3</w:t>
            </w:r>
            <w:r>
              <w:rPr>
                <w:rFonts w:ascii="Times New Roman" w:hAnsi="Times New Roman"/>
                <w:sz w:val="21"/>
                <w:szCs w:val="21"/>
                <w:shd w:val="nil" w:color="auto" w:fill="auto"/>
                <w:rtl w:val="0"/>
                <w:lang w:val="en-US"/>
              </w:rPr>
              <w:t>/d)</w:t>
            </w:r>
          </w:p>
        </w:tc>
        <w:tc>
          <w:tcPr>
            <w:tcW w:type="dxa" w:w="166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54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460" w:firstLine="0"/>
            </w:pPr>
            <w:r>
              <w:rPr>
                <w:rFonts w:ascii="Times New Roman" w:hAnsi="Times New Roman"/>
                <w:b w:val="1"/>
                <w:bCs w:val="1"/>
                <w:sz w:val="21"/>
                <w:szCs w:val="21"/>
                <w:shd w:val="nil" w:color="auto" w:fill="auto"/>
                <w:rtl w:val="0"/>
              </w:rPr>
              <w:t xml:space="preserve"> </w:t>
            </w:r>
            <w:r>
              <w:rPr>
                <w:rFonts w:ascii="Times New Roman" w:hAnsi="Times New Roman" w:hint="default"/>
                <w:b w:val="1"/>
                <w:bCs w:val="1"/>
                <w:sz w:val="21"/>
                <w:szCs w:val="21"/>
                <w:shd w:val="nil" w:color="auto" w:fill="auto"/>
                <w:rtl w:val="0"/>
                <w:lang w:val="ru-RU"/>
              </w:rPr>
              <w:t>Значение</w:t>
            </w:r>
            <w:r>
              <w:rPr>
                <w:rFonts w:ascii="Times New Roman" w:hAnsi="Times New Roman"/>
                <w:sz w:val="21"/>
                <w:szCs w:val="21"/>
                <w:shd w:val="nil" w:color="auto" w:fill="auto"/>
                <w:rtl w:val="0"/>
              </w:rPr>
              <w:t>%</w:t>
            </w:r>
          </w:p>
        </w:tc>
        <w:tc>
          <w:tcPr>
            <w:tcW w:type="dxa" w:w="160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1"/>
                <w:szCs w:val="21"/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1"/>
                <w:szCs w:val="21"/>
                <w:shd w:val="nil" w:color="auto" w:fill="auto"/>
                <w:rtl w:val="0"/>
                <w:lang w:val="ru-RU"/>
              </w:rPr>
              <w:t>Значение</w:t>
            </w:r>
          </w:p>
          <w:p>
            <w:pPr>
              <w:pStyle w:val="Normal.0"/>
              <w:bidi w:val="0"/>
              <w:spacing w:line="20" w:lineRule="atLeast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1"/>
                <w:szCs w:val="21"/>
                <w:shd w:val="nil" w:color="auto" w:fill="auto"/>
                <w:rtl w:val="0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  <w:shd w:val="nil" w:color="auto" w:fill="auto"/>
                <w:rtl w:val="0"/>
              </w:rPr>
              <w:t>%</w:t>
            </w:r>
          </w:p>
        </w:tc>
      </w:tr>
      <w:tr>
        <w:tblPrEx>
          <w:shd w:val="clear" w:color="auto" w:fill="ced7e7"/>
        </w:tblPrEx>
        <w:trPr>
          <w:trHeight w:val="327" w:hRule="atLeast"/>
        </w:trPr>
        <w:tc>
          <w:tcPr>
            <w:tcW w:type="dxa" w:w="10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540"/>
            <w:vMerge w:val="restart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136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56" w:firstLine="0"/>
              <w:jc w:val="center"/>
            </w:pPr>
            <w:r>
              <w:rPr>
                <w:rFonts w:ascii="Times New Roman" w:hAnsi="Times New Roman"/>
                <w:sz w:val="21"/>
                <w:szCs w:val="21"/>
                <w:shd w:val="nil" w:color="auto" w:fill="auto"/>
                <w:rtl w:val="0"/>
              </w:rPr>
              <w:t>ft</w:t>
            </w:r>
            <w:r>
              <w:rPr>
                <w:rFonts w:ascii="Times New Roman" w:hAnsi="Times New Roman"/>
                <w:sz w:val="27"/>
                <w:szCs w:val="27"/>
                <w:shd w:val="nil" w:color="auto" w:fill="auto"/>
                <w:vertAlign w:val="superscript"/>
                <w:rtl w:val="0"/>
              </w:rPr>
              <w:t>2</w:t>
            </w:r>
            <w:r>
              <w:rPr>
                <w:rFonts w:ascii="Times New Roman" w:hAnsi="Times New Roman"/>
                <w:sz w:val="21"/>
                <w:szCs w:val="21"/>
                <w:shd w:val="nil" w:color="auto" w:fill="auto"/>
                <w:rtl w:val="0"/>
              </w:rPr>
              <w:t>(m</w:t>
            </w:r>
            <w:r>
              <w:rPr>
                <w:rFonts w:ascii="Times New Roman" w:hAnsi="Times New Roman"/>
                <w:sz w:val="27"/>
                <w:szCs w:val="27"/>
                <w:shd w:val="nil" w:color="auto" w:fill="auto"/>
                <w:vertAlign w:val="superscript"/>
                <w:rtl w:val="0"/>
              </w:rPr>
              <w:t>2</w:t>
            </w:r>
            <w:r>
              <w:rPr>
                <w:rFonts w:ascii="Times New Roman" w:hAnsi="Times New Roman"/>
                <w:sz w:val="21"/>
                <w:szCs w:val="21"/>
                <w:shd w:val="nil" w:color="auto" w:fill="auto"/>
                <w:rtl w:val="0"/>
              </w:rPr>
              <w:t>)</w:t>
            </w:r>
          </w:p>
        </w:tc>
        <w:tc>
          <w:tcPr>
            <w:tcW w:type="dxa" w:w="3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740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660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600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36" w:hRule="atLeast"/>
        </w:trPr>
        <w:tc>
          <w:tcPr>
            <w:tcW w:type="dxa" w:w="108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8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540"/>
            <w:vMerge w:val="continue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</w:tcPr>
          <w:p/>
        </w:tc>
        <w:tc>
          <w:tcPr>
            <w:tcW w:type="dxa" w:w="34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2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74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66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60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350" w:hRule="atLeast"/>
        </w:trPr>
        <w:tc>
          <w:tcPr>
            <w:tcW w:type="dxa" w:w="1360"/>
            <w:gridSpan w:val="2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20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20" w:firstLine="0"/>
            </w:pPr>
            <w:r>
              <w:rPr>
                <w:rFonts w:ascii="Times New Roman" w:hAnsi="Times New Roman"/>
                <w:sz w:val="17"/>
                <w:szCs w:val="17"/>
                <w:shd w:val="nil" w:color="auto" w:fill="auto"/>
                <w:rtl w:val="0"/>
                <w:lang w:val="en-US"/>
              </w:rPr>
              <w:t>MBAQ-4021</w:t>
            </w:r>
          </w:p>
        </w:tc>
        <w:tc>
          <w:tcPr>
            <w:tcW w:type="dxa" w:w="154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36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56" w:lineRule="exact"/>
              <w:ind w:left="56" w:firstLine="0"/>
              <w:jc w:val="center"/>
            </w:pPr>
            <w:r>
              <w:rPr>
                <w:rFonts w:ascii="Times New Roman" w:hAnsi="Times New Roman"/>
                <w:sz w:val="21"/>
                <w:szCs w:val="21"/>
                <w:shd w:val="nil" w:color="auto" w:fill="auto"/>
                <w:rtl w:val="0"/>
              </w:rPr>
              <w:t>36</w:t>
            </w:r>
            <w:r>
              <w:rPr>
                <w:rFonts w:ascii="SimSun" w:cs="SimSun" w:hAnsi="SimSun" w:eastAsia="SimSun"/>
                <w:sz w:val="21"/>
                <w:szCs w:val="21"/>
                <w:shd w:val="nil" w:color="auto" w:fill="auto"/>
                <w:rtl w:val="0"/>
                <w:lang w:val="ja-JP" w:eastAsia="ja-JP"/>
              </w:rPr>
              <w:t>（</w:t>
            </w:r>
            <w:r>
              <w:rPr>
                <w:rFonts w:ascii="Times New Roman" w:hAnsi="Times New Roman"/>
                <w:sz w:val="21"/>
                <w:szCs w:val="21"/>
                <w:shd w:val="nil" w:color="auto" w:fill="auto"/>
                <w:rtl w:val="0"/>
              </w:rPr>
              <w:t>3.3</w:t>
            </w:r>
            <w:r>
              <w:rPr>
                <w:rFonts w:ascii="SimSun" w:cs="SimSun" w:hAnsi="SimSun" w:eastAsia="SimSun"/>
                <w:sz w:val="21"/>
                <w:szCs w:val="21"/>
                <w:shd w:val="nil" w:color="auto" w:fill="auto"/>
                <w:rtl w:val="0"/>
                <w:lang w:val="ja-JP" w:eastAsia="ja-JP"/>
              </w:rPr>
              <w:t>）</w:t>
            </w:r>
          </w:p>
        </w:tc>
        <w:tc>
          <w:tcPr>
            <w:tcW w:type="dxa" w:w="34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2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74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496"/>
            </w:tcMar>
            <w:vAlign w:val="bottom"/>
          </w:tcPr>
          <w:p>
            <w:pPr>
              <w:pStyle w:val="Normal.0"/>
              <w:spacing w:line="256" w:lineRule="exact"/>
              <w:ind w:right="416"/>
              <w:jc w:val="center"/>
            </w:pPr>
            <w:r>
              <w:rPr>
                <w:rFonts w:ascii="Times New Roman" w:hAnsi="Times New Roman"/>
                <w:sz w:val="21"/>
                <w:szCs w:val="21"/>
                <w:shd w:val="nil" w:color="auto" w:fill="auto"/>
                <w:rtl w:val="0"/>
              </w:rPr>
              <w:t>950</w:t>
            </w:r>
            <w:r>
              <w:rPr>
                <w:rFonts w:ascii="SimSun" w:cs="SimSun" w:hAnsi="SimSun" w:eastAsia="SimSun"/>
                <w:sz w:val="21"/>
                <w:szCs w:val="21"/>
                <w:shd w:val="nil" w:color="auto" w:fill="auto"/>
                <w:rtl w:val="0"/>
                <w:lang w:val="ja-JP" w:eastAsia="ja-JP"/>
              </w:rPr>
              <w:t>（</w:t>
            </w:r>
            <w:r>
              <w:rPr>
                <w:rFonts w:ascii="Times New Roman" w:hAnsi="Times New Roman"/>
                <w:sz w:val="21"/>
                <w:szCs w:val="21"/>
                <w:shd w:val="nil" w:color="auto" w:fill="auto"/>
                <w:rtl w:val="0"/>
              </w:rPr>
              <w:t>3.6</w:t>
            </w:r>
            <w:r>
              <w:rPr>
                <w:rFonts w:ascii="SimSun" w:cs="SimSun" w:hAnsi="SimSun" w:eastAsia="SimSun"/>
                <w:sz w:val="21"/>
                <w:szCs w:val="21"/>
                <w:shd w:val="nil" w:color="auto" w:fill="auto"/>
                <w:rtl w:val="0"/>
                <w:lang w:val="ja-JP" w:eastAsia="ja-JP"/>
              </w:rPr>
              <w:t>）</w:t>
            </w:r>
          </w:p>
        </w:tc>
        <w:tc>
          <w:tcPr>
            <w:tcW w:type="dxa" w:w="166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76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680" w:firstLine="0"/>
            </w:pPr>
            <w:r>
              <w:rPr>
                <w:rFonts w:ascii="Times New Roman" w:hAnsi="Times New Roman"/>
                <w:sz w:val="21"/>
                <w:szCs w:val="21"/>
                <w:shd w:val="nil" w:color="auto" w:fill="auto"/>
                <w:rtl w:val="0"/>
              </w:rPr>
              <w:t>99</w:t>
            </w:r>
          </w:p>
        </w:tc>
        <w:tc>
          <w:tcPr>
            <w:tcW w:type="dxa" w:w="160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jc w:val="center"/>
            </w:pPr>
            <w:r>
              <w:rPr>
                <w:rFonts w:ascii="Times New Roman" w:hAnsi="Times New Roman"/>
                <w:sz w:val="21"/>
                <w:szCs w:val="21"/>
                <w:shd w:val="nil" w:color="auto" w:fill="auto"/>
                <w:rtl w:val="0"/>
              </w:rPr>
              <w:t>98.5</w:t>
            </w:r>
          </w:p>
        </w:tc>
      </w:tr>
      <w:tr>
        <w:tblPrEx>
          <w:shd w:val="clear" w:color="auto" w:fill="ced7e7"/>
        </w:tblPrEx>
        <w:trPr>
          <w:trHeight w:val="236" w:hRule="atLeast"/>
        </w:trPr>
        <w:tc>
          <w:tcPr>
            <w:tcW w:type="dxa" w:w="108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820"/>
            <w:gridSpan w:val="2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4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2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74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260"/>
            <w:gridSpan w:val="2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452" w:hRule="atLeast"/>
        </w:trPr>
        <w:tc>
          <w:tcPr>
            <w:tcW w:type="dxa" w:w="108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820"/>
            <w:gridSpan w:val="2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20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20" w:firstLine="0"/>
            </w:pPr>
            <w:r>
              <w:rPr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  <w:lang w:val="ru-RU"/>
              </w:rPr>
              <w:t>Испытательное давление</w:t>
            </w:r>
          </w:p>
        </w:tc>
        <w:tc>
          <w:tcPr>
            <w:tcW w:type="dxa" w:w="34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2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74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260"/>
            <w:gridSpan w:val="2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76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680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150psi (1.03MPa)</w:t>
            </w:r>
          </w:p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108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00" w:firstLine="0"/>
            </w:pPr>
            <w:r>
              <w:rPr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Условия тестирования</w:t>
            </w:r>
          </w:p>
        </w:tc>
        <w:tc>
          <w:tcPr>
            <w:tcW w:type="dxa" w:w="2380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20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20" w:firstLine="0"/>
            </w:pPr>
            <w:r>
              <w:rPr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  <w:lang w:val="ru-RU"/>
              </w:rPr>
              <w:t>Испытательная температура</w:t>
            </w:r>
          </w:p>
        </w:tc>
        <w:tc>
          <w:tcPr>
            <w:tcW w:type="dxa" w:w="17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6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76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19" w:lineRule="exact"/>
              <w:ind w:left="680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 xml:space="preserve">25 </w:t>
            </w:r>
            <w:r>
              <w:rPr>
                <w:rFonts w:ascii="SimSun" w:cs="SimSun" w:hAnsi="SimSun" w:eastAsia="SimSun"/>
                <w:sz w:val="18"/>
                <w:szCs w:val="18"/>
                <w:shd w:val="nil" w:color="auto" w:fill="auto"/>
                <w:rtl w:val="0"/>
              </w:rPr>
              <w:t>℃</w:t>
            </w:r>
          </w:p>
        </w:tc>
        <w:tc>
          <w:tcPr>
            <w:tcW w:type="dxa" w:w="16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16" w:hRule="atLeast"/>
        </w:trPr>
        <w:tc>
          <w:tcPr>
            <w:tcW w:type="dxa" w:w="1080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4120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20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20" w:firstLine="0"/>
            </w:pPr>
            <w:r>
              <w:rPr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  <w:lang w:val="ru-RU"/>
              </w:rPr>
              <w:t>Концентрация испытательного раствора</w:t>
            </w: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 xml:space="preserve">  (NaCl)</w:t>
            </w:r>
          </w:p>
        </w:tc>
        <w:tc>
          <w:tcPr>
            <w:tcW w:type="dxa" w:w="166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76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680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  <w:lang w:val="sv-SE"/>
              </w:rPr>
              <w:t>1500ppm</w:t>
            </w:r>
          </w:p>
        </w:tc>
        <w:tc>
          <w:tcPr>
            <w:tcW w:type="dxa" w:w="16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16" w:hRule="atLeast"/>
        </w:trPr>
        <w:tc>
          <w:tcPr>
            <w:tcW w:type="dxa" w:w="108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120"/>
            <w:gridSpan w:val="5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660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6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16" w:hRule="atLeast"/>
        </w:trPr>
        <w:tc>
          <w:tcPr>
            <w:tcW w:type="dxa" w:w="1080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380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20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20" w:firstLine="0"/>
            </w:pPr>
            <w:r>
              <w:rPr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  <w:lang w:val="ru-RU"/>
              </w:rPr>
              <w:t>Значение рН испытательного раствора</w:t>
            </w:r>
          </w:p>
        </w:tc>
        <w:tc>
          <w:tcPr>
            <w:tcW w:type="dxa" w:w="17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66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76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680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7.5</w:t>
            </w:r>
          </w:p>
        </w:tc>
        <w:tc>
          <w:tcPr>
            <w:tcW w:type="dxa" w:w="16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26" w:hRule="atLeast"/>
        </w:trPr>
        <w:tc>
          <w:tcPr>
            <w:tcW w:type="dxa" w:w="10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380"/>
            <w:gridSpan w:val="4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7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660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6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10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120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20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20" w:firstLine="0"/>
            </w:pPr>
            <w:r>
              <w:rPr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  <w:lang w:val="ru-RU"/>
              </w:rPr>
              <w:t>Уровень восстановления одного элемента</w:t>
            </w:r>
          </w:p>
        </w:tc>
        <w:tc>
          <w:tcPr>
            <w:tcW w:type="dxa" w:w="16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76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680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8%</w:t>
            </w:r>
          </w:p>
        </w:tc>
        <w:tc>
          <w:tcPr>
            <w:tcW w:type="dxa" w:w="16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36" w:hRule="atLeast"/>
        </w:trPr>
        <w:tc>
          <w:tcPr>
            <w:tcW w:type="dxa" w:w="108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820"/>
            <w:gridSpan w:val="2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4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2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74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260"/>
            <w:gridSpan w:val="2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452" w:hRule="atLeast"/>
        </w:trPr>
        <w:tc>
          <w:tcPr>
            <w:tcW w:type="dxa" w:w="108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820"/>
            <w:gridSpan w:val="2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20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20" w:firstLine="0"/>
            </w:pPr>
            <w:r>
              <w:rPr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  <w:lang w:val="ru-RU"/>
              </w:rPr>
              <w:t>Максимальное рабочее давление</w:t>
            </w:r>
          </w:p>
        </w:tc>
        <w:tc>
          <w:tcPr>
            <w:tcW w:type="dxa" w:w="34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2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74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260"/>
            <w:gridSpan w:val="2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76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19" w:lineRule="exact"/>
              <w:ind w:left="680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600psi</w:t>
            </w:r>
            <w:r>
              <w:rPr>
                <w:rFonts w:ascii="SimSun" w:cs="SimSun" w:hAnsi="SimSun" w:eastAsia="SimSun"/>
                <w:sz w:val="18"/>
                <w:szCs w:val="18"/>
                <w:shd w:val="nil" w:color="auto" w:fill="auto"/>
                <w:rtl w:val="0"/>
                <w:lang w:val="ja-JP" w:eastAsia="ja-JP"/>
              </w:rPr>
              <w:t>（</w:t>
            </w: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4.14MPa</w:t>
            </w:r>
            <w:r>
              <w:rPr>
                <w:rFonts w:ascii="SimSun" w:cs="SimSun" w:hAnsi="SimSun" w:eastAsia="SimSun"/>
                <w:sz w:val="18"/>
                <w:szCs w:val="18"/>
                <w:shd w:val="nil" w:color="auto" w:fill="auto"/>
                <w:rtl w:val="0"/>
                <w:lang w:val="ja-JP" w:eastAsia="ja-JP"/>
              </w:rPr>
              <w:t>）</w:t>
            </w:r>
          </w:p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10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160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20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20" w:firstLine="0"/>
            </w:pPr>
            <w:r>
              <w:rPr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  <w:lang w:val="ru-RU"/>
              </w:rPr>
              <w:t>Максимальный объем питательной воды</w:t>
            </w:r>
          </w:p>
        </w:tc>
        <w:tc>
          <w:tcPr>
            <w:tcW w:type="dxa" w:w="2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7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260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76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65" w:lineRule="exact"/>
              <w:ind w:left="680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16gpm</w:t>
            </w:r>
            <w:r>
              <w:rPr>
                <w:rFonts w:ascii="SimSun" w:cs="SimSun" w:hAnsi="SimSun" w:eastAsia="SimSun"/>
                <w:sz w:val="18"/>
                <w:szCs w:val="18"/>
                <w:shd w:val="nil" w:color="auto" w:fill="auto"/>
                <w:rtl w:val="0"/>
                <w:lang w:val="ja-JP" w:eastAsia="ja-JP"/>
              </w:rPr>
              <w:t>（</w:t>
            </w: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3.6 m</w:t>
            </w:r>
            <w:r>
              <w:rPr>
                <w:rFonts w:ascii="Times New Roman" w:hAnsi="Times New Roman"/>
                <w:sz w:val="23"/>
                <w:szCs w:val="23"/>
                <w:shd w:val="nil" w:color="auto" w:fill="auto"/>
                <w:vertAlign w:val="superscript"/>
                <w:rtl w:val="0"/>
              </w:rPr>
              <w:t>3</w:t>
            </w: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/h</w:t>
            </w:r>
            <w:r>
              <w:rPr>
                <w:rFonts w:ascii="SimSun" w:cs="SimSun" w:hAnsi="SimSun" w:eastAsia="SimSun"/>
                <w:sz w:val="18"/>
                <w:szCs w:val="18"/>
                <w:shd w:val="nil" w:color="auto" w:fill="auto"/>
                <w:rtl w:val="0"/>
                <w:lang w:val="ja-JP" w:eastAsia="ja-JP"/>
              </w:rPr>
              <w:t>）</w:t>
            </w:r>
          </w:p>
        </w:tc>
      </w:tr>
      <w:tr>
        <w:tblPrEx>
          <w:shd w:val="clear" w:color="auto" w:fill="ced7e7"/>
        </w:tblPrEx>
        <w:trPr>
          <w:trHeight w:val="612" w:hRule="atLeast"/>
        </w:trPr>
        <w:tc>
          <w:tcPr>
            <w:tcW w:type="dxa" w:w="10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820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20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20" w:firstLine="0"/>
            </w:pPr>
            <w:r>
              <w:rPr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  <w:lang w:val="ru-RU"/>
              </w:rPr>
              <w:t>Максимальная температура питательной воды</w:t>
            </w:r>
          </w:p>
        </w:tc>
        <w:tc>
          <w:tcPr>
            <w:tcW w:type="dxa" w:w="2300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6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76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19" w:lineRule="exact"/>
              <w:ind w:left="680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45</w:t>
            </w:r>
            <w:r>
              <w:rPr>
                <w:rFonts w:ascii="SimSun" w:cs="SimSun" w:hAnsi="SimSun" w:eastAsia="SimSun"/>
                <w:sz w:val="18"/>
                <w:szCs w:val="18"/>
                <w:shd w:val="nil" w:color="auto" w:fill="auto"/>
                <w:rtl w:val="0"/>
              </w:rPr>
              <w:t>℃</w:t>
            </w:r>
          </w:p>
        </w:tc>
        <w:tc>
          <w:tcPr>
            <w:tcW w:type="dxa" w:w="16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108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00" w:firstLine="0"/>
            </w:pPr>
            <w:r>
              <w:rPr>
                <w:rFonts w:ascii="Times New Roman" w:hAnsi="Times New Roman" w:hint="default"/>
                <w:b w:val="1"/>
                <w:bCs w:val="1"/>
                <w:sz w:val="18"/>
                <w:szCs w:val="18"/>
                <w:shd w:val="nil" w:color="auto" w:fill="auto"/>
                <w:rtl w:val="0"/>
                <w:lang w:val="ru-RU"/>
              </w:rPr>
              <w:t>Пределы и условия эксплуатации</w:t>
            </w:r>
          </w:p>
        </w:tc>
        <w:tc>
          <w:tcPr>
            <w:tcW w:type="dxa" w:w="2160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20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20" w:firstLine="0"/>
            </w:pPr>
            <w:r>
              <w:rPr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  <w:lang w:val="ru-RU"/>
              </w:rPr>
              <w:t xml:space="preserve">Максимальное значение </w:t>
            </w: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SDI15</w:t>
            </w:r>
          </w:p>
        </w:tc>
        <w:tc>
          <w:tcPr>
            <w:tcW w:type="dxa" w:w="2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7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6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76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680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5</w:t>
            </w:r>
          </w:p>
        </w:tc>
        <w:tc>
          <w:tcPr>
            <w:tcW w:type="dxa" w:w="16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40" w:hRule="atLeast"/>
        </w:trPr>
        <w:tc>
          <w:tcPr>
            <w:tcW w:type="dxa" w:w="1080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5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7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6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6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108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120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20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20" w:firstLine="0"/>
            </w:pPr>
            <w:r>
              <w:rPr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  <w:lang w:val="ru-RU"/>
              </w:rPr>
              <w:t>Диапазон рН питательной воды в непрерывном режиме</w:t>
            </w:r>
          </w:p>
        </w:tc>
        <w:tc>
          <w:tcPr>
            <w:tcW w:type="dxa" w:w="16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76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19" w:lineRule="exact"/>
              <w:ind w:left="680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3</w:t>
            </w:r>
            <w:r>
              <w:rPr>
                <w:rFonts w:ascii="SimSun" w:cs="SimSun" w:hAnsi="SimSun" w:eastAsia="SimSun"/>
                <w:sz w:val="18"/>
                <w:szCs w:val="18"/>
                <w:shd w:val="nil" w:color="auto" w:fill="auto"/>
                <w:rtl w:val="0"/>
                <w:lang w:val="ja-JP" w:eastAsia="ja-JP"/>
              </w:rPr>
              <w:t>～</w:t>
            </w: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10</w:t>
            </w:r>
          </w:p>
        </w:tc>
        <w:tc>
          <w:tcPr>
            <w:tcW w:type="dxa" w:w="16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16" w:hRule="atLeast"/>
        </w:trPr>
        <w:tc>
          <w:tcPr>
            <w:tcW w:type="dxa" w:w="1080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4120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20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20" w:firstLine="0"/>
            </w:pPr>
            <w:r>
              <w:rPr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  <w:lang w:val="ru-RU"/>
              </w:rPr>
              <w:t>Диапазон рН питательной воды при химической очистке</w:t>
            </w:r>
          </w:p>
        </w:tc>
        <w:tc>
          <w:tcPr>
            <w:tcW w:type="dxa" w:w="166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76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19" w:lineRule="exact"/>
              <w:ind w:left="680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2</w:t>
            </w:r>
            <w:r>
              <w:rPr>
                <w:rFonts w:ascii="SimSun" w:cs="SimSun" w:hAnsi="SimSun" w:eastAsia="SimSun"/>
                <w:sz w:val="18"/>
                <w:szCs w:val="18"/>
                <w:shd w:val="nil" w:color="auto" w:fill="auto"/>
                <w:rtl w:val="0"/>
                <w:lang w:val="ja-JP" w:eastAsia="ja-JP"/>
              </w:rPr>
              <w:t>～</w:t>
            </w: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12</w:t>
            </w:r>
          </w:p>
        </w:tc>
        <w:tc>
          <w:tcPr>
            <w:tcW w:type="dxa" w:w="16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26" w:hRule="atLeast"/>
        </w:trPr>
        <w:tc>
          <w:tcPr>
            <w:tcW w:type="dxa" w:w="10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120"/>
            <w:gridSpan w:val="5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660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6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10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120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20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20" w:firstLine="0"/>
            </w:pPr>
            <w:r>
              <w:rPr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  <w:lang w:val="ru-RU"/>
              </w:rPr>
              <w:t>Остаточная концентрация хлора в питательной воде</w:t>
            </w:r>
          </w:p>
        </w:tc>
        <w:tc>
          <w:tcPr>
            <w:tcW w:type="dxa" w:w="166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76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19" w:lineRule="exact"/>
              <w:ind w:left="680" w:firstLine="0"/>
            </w:pPr>
            <w:r>
              <w:rPr>
                <w:rFonts w:ascii="SimSun" w:cs="SimSun" w:hAnsi="SimSun" w:eastAsia="SimSun"/>
                <w:sz w:val="18"/>
                <w:szCs w:val="18"/>
                <w:shd w:val="nil" w:color="auto" w:fill="auto"/>
                <w:rtl w:val="0"/>
                <w:lang w:val="ja-JP" w:eastAsia="ja-JP"/>
              </w:rPr>
              <w:t>＜</w:t>
            </w: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0.1ppm</w:t>
            </w:r>
          </w:p>
        </w:tc>
        <w:tc>
          <w:tcPr>
            <w:tcW w:type="dxa" w:w="16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10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120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20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0" w:lineRule="atLeast"/>
              <w:ind w:left="120" w:firstLine="0"/>
            </w:pPr>
            <w:r>
              <w:rPr>
                <w:rFonts w:ascii="Times New Roman" w:hAnsi="Times New Roman" w:hint="default"/>
                <w:sz w:val="18"/>
                <w:szCs w:val="18"/>
                <w:shd w:val="nil" w:color="auto" w:fill="auto"/>
                <w:rtl w:val="0"/>
                <w:lang w:val="ru-RU"/>
              </w:rPr>
              <w:t>Максимальный перепад давления одного мембранного элемента</w:t>
            </w:r>
          </w:p>
        </w:tc>
        <w:tc>
          <w:tcPr>
            <w:tcW w:type="dxa" w:w="3260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76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line="219" w:lineRule="exact"/>
              <w:ind w:left="680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15psi</w:t>
            </w:r>
            <w:r>
              <w:rPr>
                <w:rFonts w:ascii="SimSun" w:cs="SimSun" w:hAnsi="SimSun" w:eastAsia="SimSun"/>
                <w:sz w:val="18"/>
                <w:szCs w:val="18"/>
                <w:shd w:val="nil" w:color="auto" w:fill="auto"/>
                <w:rtl w:val="0"/>
                <w:lang w:val="ja-JP" w:eastAsia="ja-JP"/>
              </w:rPr>
              <w:t>（</w:t>
            </w: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</w:rPr>
              <w:t>0.1MPa</w:t>
            </w:r>
            <w:r>
              <w:rPr>
                <w:rFonts w:ascii="SimSun" w:cs="SimSun" w:hAnsi="SimSun" w:eastAsia="SimSun"/>
                <w:sz w:val="18"/>
                <w:szCs w:val="18"/>
                <w:shd w:val="nil" w:color="auto" w:fill="auto"/>
                <w:rtl w:val="0"/>
                <w:lang w:val="ja-JP" w:eastAsia="ja-JP"/>
              </w:rPr>
              <w:t>）</w:t>
            </w:r>
          </w:p>
        </w:tc>
      </w:tr>
    </w:tbl>
    <w:p>
      <w:pPr>
        <w:pStyle w:val="Normal.0"/>
        <w:widowControl w:val="0"/>
        <w:ind w:left="476" w:hanging="476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widowControl w:val="0"/>
        <w:ind w:left="368" w:hanging="368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widowControl w:val="0"/>
        <w:ind w:left="260" w:hanging="260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line="36" w:lineRule="exac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line="20" w:lineRule="atLeast"/>
        <w:ind w:left="14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rtl w:val="0"/>
          <w:lang w:val="ru-RU"/>
        </w:rPr>
        <w:t xml:space="preserve">Максимальный перепад давления в одном сосуде </w:t>
      </w:r>
    </w:p>
    <w:p>
      <w:pPr>
        <w:pStyle w:val="Normal.0"/>
        <w:spacing w:line="20" w:lineRule="atLeast"/>
        <w:ind w:left="1460" w:firstLine="0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rtl w:val="0"/>
          <w:lang w:val="ru-RU"/>
        </w:rPr>
        <w:t xml:space="preserve">высокого давления с шестью мембранами </w:t>
      </w:r>
    </w:p>
    <w:p>
      <w:pPr>
        <w:pStyle w:val="Normal.0"/>
        <w:spacing w:line="20" w:lineRule="atLeast"/>
        <w:ind w:left="1460" w:firstLine="0"/>
        <w:rPr>
          <w:rFonts w:ascii="Times New Roman" w:cs="Times New Roman" w:hAnsi="Times New Roman" w:eastAsia="Times New Roman"/>
          <w:sz w:val="18"/>
          <w:szCs w:val="18"/>
        </w:rPr>
      </w:pPr>
      <w:r>
        <w:rPr>
          <w:rFonts w:ascii="Times New Roman" w:hAnsi="Times New Roman" w:hint="default"/>
          <w:rtl w:val="0"/>
          <w:lang w:val="ru-RU"/>
        </w:rPr>
        <w:t>системы обратного осмоса</w:t>
      </w:r>
    </w:p>
    <w:p>
      <w:pPr>
        <w:pStyle w:val="Normal.0"/>
        <w:spacing w:line="156" w:lineRule="exact"/>
        <w:ind w:left="6140" w:firstLine="0"/>
        <w:rPr>
          <w:rFonts w:ascii="SimSun" w:cs="SimSun" w:hAnsi="SimSun" w:eastAsia="SimSun"/>
          <w:sz w:val="17"/>
          <w:szCs w:val="17"/>
        </w:rPr>
      </w:pPr>
      <w:r>
        <w:rPr>
          <w:rFonts w:ascii="Times New Roman" w:hAnsi="Times New Roman"/>
          <w:sz w:val="17"/>
          <w:szCs w:val="17"/>
          <w:rtl w:val="0"/>
        </w:rPr>
        <w:t>50psi</w:t>
      </w:r>
      <w:r>
        <w:rPr>
          <w:rFonts w:ascii="SimSun" w:cs="SimSun" w:hAnsi="SimSun" w:eastAsia="SimSun"/>
          <w:sz w:val="17"/>
          <w:szCs w:val="17"/>
          <w:rtl w:val="0"/>
          <w:lang w:val="ja-JP" w:eastAsia="ja-JP"/>
        </w:rPr>
        <w:t>（</w:t>
      </w:r>
      <w:r>
        <w:rPr>
          <w:rFonts w:ascii="Times New Roman" w:hAnsi="Times New Roman"/>
          <w:sz w:val="17"/>
          <w:szCs w:val="17"/>
          <w:rtl w:val="0"/>
        </w:rPr>
        <w:t>0.34MPa</w:t>
      </w:r>
      <w:r>
        <w:rPr>
          <w:rFonts w:ascii="SimSun" w:cs="SimSun" w:hAnsi="SimSun" w:eastAsia="SimSun"/>
          <w:sz w:val="17"/>
          <w:szCs w:val="17"/>
          <w:rtl w:val="0"/>
          <w:lang w:val="ja-JP" w:eastAsia="ja-JP"/>
        </w:rPr>
        <w:t>）</w:t>
      </w:r>
    </w:p>
    <w:p>
      <w:pPr>
        <w:pStyle w:val="Normal.0"/>
        <w:spacing w:line="20" w:lineRule="atLeast"/>
        <w:ind w:left="1460" w:firstLine="0"/>
        <w:rPr>
          <w:rFonts w:ascii="Times New Roman" w:cs="Times New Roman" w:hAnsi="Times New Roman" w:eastAsia="Times New Roman"/>
          <w:sz w:val="18"/>
          <w:szCs w:val="18"/>
        </w:rPr>
      </w:pPr>
    </w:p>
    <w:p>
      <w:pPr>
        <w:pStyle w:val="Normal.0"/>
        <w:spacing w:line="20" w:lineRule="exac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line="329" w:lineRule="exact"/>
        <w:rPr>
          <w:rFonts w:ascii="Times New Roman" w:cs="Times New Roman" w:hAnsi="Times New Roman" w:eastAsia="Times New Roman"/>
          <w:sz w:val="18"/>
          <w:szCs w:val="18"/>
        </w:rPr>
      </w:pPr>
      <w:bookmarkStart w:name="page2" w:id="1"/>
      <w:bookmarkEnd w:id="1"/>
      <w:r>
        <w:rPr>
          <w:rFonts w:ascii="Times New Roman" w:cs="Times New Roman" w:hAnsi="Times New Roman" w:eastAsia="Times New Roman"/>
          <w:sz w:val="24"/>
          <w:szCs w:val="24"/>
        </w:rPr>
        <w:drawing xmlns:a="http://schemas.openxmlformats.org/drawingml/2006/main">
          <wp:anchor distT="0" distB="0" distL="0" distR="0" simplePos="0" relativeHeight="251656192" behindDoc="1" locked="0" layoutInCell="1" allowOverlap="1">
            <wp:simplePos x="0" y="0"/>
            <wp:positionH relativeFrom="page">
              <wp:posOffset>4653915</wp:posOffset>
            </wp:positionH>
            <wp:positionV relativeFrom="page">
              <wp:posOffset>133983</wp:posOffset>
            </wp:positionV>
            <wp:extent cx="1752600" cy="490856"/>
            <wp:effectExtent l="0" t="0" r="0" b="0"/>
            <wp:wrapNone/>
            <wp:docPr id="1073741828" name="officeArt object" descr="image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age.tif" descr="image.ti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49085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hint="default"/>
          <w:b w:val="1"/>
          <w:bCs w:val="1"/>
          <w:sz w:val="21"/>
          <w:szCs w:val="21"/>
          <w:rtl w:val="0"/>
          <w:lang w:val="ru-RU"/>
        </w:rPr>
        <w:t>Размер мембранного элемента</w:t>
      </w:r>
      <w:r>
        <w:rPr>
          <w:rFonts w:ascii="SimSun" w:cs="SimSun" w:hAnsi="SimSun" w:eastAsia="SimSun"/>
          <w:b w:val="1"/>
          <w:bCs w:val="1"/>
          <w:sz w:val="21"/>
          <w:szCs w:val="21"/>
          <w:rtl w:val="0"/>
          <w:lang w:val="ja-JP" w:eastAsia="ja-JP"/>
        </w:rPr>
        <w:t>：</w:t>
      </w:r>
      <w:r>
        <w:rPr>
          <w:rFonts w:ascii="Times New Roman" w:hAnsi="Times New Roman"/>
          <w:sz w:val="18"/>
          <w:szCs w:val="18"/>
          <w:rtl w:val="0"/>
        </w:rPr>
        <w:t xml:space="preserve">1.0 </w:t>
      </w:r>
      <w:r>
        <w:rPr>
          <w:rFonts w:ascii="Times New Roman" w:hAnsi="Times New Roman" w:hint="default"/>
          <w:sz w:val="18"/>
          <w:szCs w:val="18"/>
          <w:rtl w:val="0"/>
          <w:lang w:val="ru-RU"/>
        </w:rPr>
        <w:t>дюйм</w:t>
      </w:r>
      <w:r>
        <w:rPr>
          <w:rFonts w:ascii="Times New Roman" w:hAnsi="Times New Roman"/>
          <w:sz w:val="18"/>
          <w:szCs w:val="18"/>
          <w:rtl w:val="0"/>
        </w:rPr>
        <w:t xml:space="preserve"> = 25.4 </w:t>
      </w:r>
      <w:r>
        <w:rPr>
          <w:rFonts w:ascii="Times New Roman" w:hAnsi="Times New Roman" w:hint="default"/>
          <w:sz w:val="18"/>
          <w:szCs w:val="18"/>
          <w:rtl w:val="0"/>
          <w:lang w:val="ru-RU"/>
        </w:rPr>
        <w:t>мм</w:t>
      </w:r>
    </w:p>
    <w:p>
      <w:pPr>
        <w:pStyle w:val="Normal.0"/>
        <w:spacing w:line="20" w:lineRule="exact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sz w:val="18"/>
          <w:szCs w:val="18"/>
        </w:rPr>
        <w:drawing xmlns:a="http://schemas.openxmlformats.org/drawingml/2006/main">
          <wp:anchor distT="0" distB="0" distL="0" distR="0" simplePos="0" relativeHeight="251657216" behindDoc="1" locked="0" layoutInCell="1" allowOverlap="1">
            <wp:simplePos x="0" y="0"/>
            <wp:positionH relativeFrom="column">
              <wp:posOffset>155573</wp:posOffset>
            </wp:positionH>
            <wp:positionV relativeFrom="line">
              <wp:posOffset>33652</wp:posOffset>
            </wp:positionV>
            <wp:extent cx="5457191" cy="1514475"/>
            <wp:effectExtent l="0" t="0" r="0" b="0"/>
            <wp:wrapNone/>
            <wp:docPr id="1073741829" name="officeArt object" descr="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.jpeg" descr="image.jpe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191" cy="15144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spacing w:line="200" w:lineRule="exact"/>
        <w:rPr>
          <w:rFonts w:ascii="Times New Roman" w:cs="Times New Roman" w:hAnsi="Times New Roman" w:eastAsia="Times New Roman"/>
        </w:rPr>
      </w:pPr>
    </w:p>
    <w:p>
      <w:pPr>
        <w:pStyle w:val="Normal.0"/>
        <w:spacing w:line="200" w:lineRule="exact"/>
        <w:rPr>
          <w:rFonts w:ascii="Times New Roman" w:cs="Times New Roman" w:hAnsi="Times New Roman" w:eastAsia="Times New Roman"/>
        </w:rPr>
      </w:pPr>
    </w:p>
    <w:p>
      <w:pPr>
        <w:pStyle w:val="Normal.0"/>
        <w:spacing w:line="200" w:lineRule="exact"/>
        <w:rPr>
          <w:rFonts w:ascii="Times New Roman" w:cs="Times New Roman" w:hAnsi="Times New Roman" w:eastAsia="Times New Roman"/>
        </w:rPr>
      </w:pPr>
    </w:p>
    <w:p>
      <w:pPr>
        <w:pStyle w:val="Normal.0"/>
        <w:spacing w:line="200" w:lineRule="exact"/>
        <w:rPr>
          <w:rFonts w:ascii="Times New Roman" w:cs="Times New Roman" w:hAnsi="Times New Roman" w:eastAsia="Times New Roman"/>
        </w:rPr>
      </w:pPr>
    </w:p>
    <w:p>
      <w:pPr>
        <w:pStyle w:val="Normal.0"/>
        <w:spacing w:line="200" w:lineRule="exact"/>
        <w:rPr>
          <w:rFonts w:ascii="Times New Roman" w:cs="Times New Roman" w:hAnsi="Times New Roman" w:eastAsia="Times New Roman"/>
        </w:rPr>
      </w:pPr>
    </w:p>
    <w:p>
      <w:pPr>
        <w:pStyle w:val="Normal.0"/>
        <w:spacing w:line="200" w:lineRule="exact"/>
        <w:rPr>
          <w:rFonts w:ascii="Times New Roman" w:cs="Times New Roman" w:hAnsi="Times New Roman" w:eastAsia="Times New Roman"/>
        </w:rPr>
      </w:pPr>
    </w:p>
    <w:p>
      <w:pPr>
        <w:pStyle w:val="Normal.0"/>
        <w:spacing w:line="200" w:lineRule="exact"/>
        <w:rPr>
          <w:rFonts w:ascii="Times New Roman" w:cs="Times New Roman" w:hAnsi="Times New Roman" w:eastAsia="Times New Roman"/>
        </w:rPr>
      </w:pPr>
    </w:p>
    <w:p>
      <w:pPr>
        <w:pStyle w:val="Normal.0"/>
        <w:spacing w:line="200" w:lineRule="exact"/>
        <w:rPr>
          <w:rFonts w:ascii="Times New Roman" w:cs="Times New Roman" w:hAnsi="Times New Roman" w:eastAsia="Times New Roman"/>
        </w:rPr>
      </w:pPr>
    </w:p>
    <w:p>
      <w:pPr>
        <w:pStyle w:val="Normal.0"/>
        <w:spacing w:line="200" w:lineRule="exact"/>
        <w:rPr>
          <w:rFonts w:ascii="Times New Roman" w:cs="Times New Roman" w:hAnsi="Times New Roman" w:eastAsia="Times New Roman"/>
        </w:rPr>
      </w:pPr>
    </w:p>
    <w:p>
      <w:pPr>
        <w:pStyle w:val="Normal.0"/>
        <w:spacing w:line="200" w:lineRule="exact"/>
        <w:rPr>
          <w:rFonts w:ascii="Times New Roman" w:cs="Times New Roman" w:hAnsi="Times New Roman" w:eastAsia="Times New Roman"/>
        </w:rPr>
      </w:pPr>
    </w:p>
    <w:p>
      <w:pPr>
        <w:pStyle w:val="Normal.0"/>
        <w:spacing w:line="200" w:lineRule="exact"/>
        <w:rPr>
          <w:rFonts w:ascii="Times New Roman" w:cs="Times New Roman" w:hAnsi="Times New Roman" w:eastAsia="Times New Roman"/>
        </w:rPr>
      </w:pPr>
    </w:p>
    <w:p>
      <w:pPr>
        <w:pStyle w:val="Normal.0"/>
        <w:spacing w:line="200" w:lineRule="exact"/>
        <w:rPr>
          <w:rFonts w:ascii="Times New Roman" w:cs="Times New Roman" w:hAnsi="Times New Roman" w:eastAsia="Times New Roman"/>
        </w:rPr>
      </w:pPr>
    </w:p>
    <w:p>
      <w:pPr>
        <w:pStyle w:val="Normal.0"/>
        <w:spacing w:line="200" w:lineRule="exact"/>
        <w:rPr>
          <w:rFonts w:ascii="Times New Roman" w:cs="Times New Roman" w:hAnsi="Times New Roman" w:eastAsia="Times New Roman"/>
        </w:rPr>
      </w:pPr>
    </w:p>
    <w:p>
      <w:pPr>
        <w:pStyle w:val="Normal.0"/>
        <w:spacing w:line="245" w:lineRule="exact"/>
        <w:rPr>
          <w:rFonts w:ascii="Times New Roman" w:cs="Times New Roman" w:hAnsi="Times New Roman" w:eastAsia="Times New Roman"/>
        </w:rPr>
      </w:pPr>
    </w:p>
    <w:p>
      <w:pPr>
        <w:pStyle w:val="Normal.0"/>
        <w:spacing w:line="20" w:lineRule="atLeast"/>
        <w:ind w:left="360" w:firstLine="0"/>
        <w:rPr>
          <w:rFonts w:ascii="Times New Roman" w:cs="Times New Roman" w:hAnsi="Times New Roman" w:eastAsia="Times New Roman"/>
          <w:b w:val="1"/>
          <w:bCs w:val="1"/>
          <w:sz w:val="25"/>
          <w:szCs w:val="25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Важная информация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>:</w:t>
      </w:r>
    </w:p>
    <w:p>
      <w:pPr>
        <w:pStyle w:val="Normal.0"/>
        <w:spacing w:line="20" w:lineRule="atLeast"/>
        <w:ind w:left="360" w:firstLine="0"/>
        <w:rPr>
          <w:rFonts w:ascii="Times New Roman" w:cs="Times New Roman" w:hAnsi="Times New Roman" w:eastAsia="Times New Roman"/>
          <w:b w:val="1"/>
          <w:bCs w:val="1"/>
          <w:sz w:val="25"/>
          <w:szCs w:val="25"/>
        </w:rPr>
      </w:pPr>
    </w:p>
    <w:p>
      <w:pPr>
        <w:pStyle w:val="Normal.0"/>
        <w:spacing w:line="20" w:lineRule="atLeast"/>
        <w:ind w:left="360" w:firstLine="0"/>
        <w:rPr>
          <w:rFonts w:ascii="Times New Roman" w:cs="Times New Roman" w:hAnsi="Times New Roman" w:eastAsia="Times New Roman"/>
          <w:sz w:val="25"/>
          <w:szCs w:val="25"/>
        </w:rPr>
      </w:pPr>
      <w:r>
        <w:rPr>
          <w:rFonts w:ascii="Times New Roman" w:hAnsi="Times New Roman"/>
          <w:rtl w:val="0"/>
          <w:lang w:val="en-US"/>
        </w:rPr>
        <w:t xml:space="preserve">1)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Все данные и информация</w:t>
      </w:r>
      <w:r>
        <w:rPr>
          <w:rFonts w:ascii="Times New Roman" w:hAnsi="Times New Roman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представленные в данном руководстве</w:t>
      </w:r>
      <w:r>
        <w:rPr>
          <w:rFonts w:ascii="Times New Roman" w:hAnsi="Times New Roman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были получены в результате длительного эксперимента</w:t>
      </w:r>
      <w:r>
        <w:rPr>
          <w:rFonts w:ascii="Times New Roman" w:hAnsi="Times New Roman"/>
          <w:sz w:val="25"/>
          <w:szCs w:val="25"/>
          <w:rtl w:val="0"/>
        </w:rPr>
        <w:t xml:space="preserve">.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Мы подтверждаем эффективность и точность данных и не несем ответственности за любые последствия</w:t>
      </w:r>
      <w:r>
        <w:rPr>
          <w:rFonts w:ascii="Times New Roman" w:hAnsi="Times New Roman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вызванные несоблюдением пользователем условий</w:t>
      </w:r>
      <w:r>
        <w:rPr>
          <w:rFonts w:ascii="Times New Roman" w:hAnsi="Times New Roman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указанных в данном руководстве</w:t>
      </w:r>
      <w:r>
        <w:rPr>
          <w:rFonts w:ascii="Times New Roman" w:hAnsi="Times New Roman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при использовании или обслуживании мембранных изделий</w:t>
      </w:r>
      <w:r>
        <w:rPr>
          <w:rFonts w:ascii="Times New Roman" w:hAnsi="Times New Roman"/>
          <w:sz w:val="25"/>
          <w:szCs w:val="25"/>
          <w:rtl w:val="0"/>
        </w:rPr>
        <w:t xml:space="preserve">.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Настоятельно рекомендуется</w:t>
      </w:r>
      <w:r>
        <w:rPr>
          <w:rFonts w:ascii="Times New Roman" w:hAnsi="Times New Roman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чтобы пользователь строго соблюдал разработанные требования к использованию и техническому обслуживанию и вел соответствующие записи</w:t>
      </w:r>
      <w:r>
        <w:rPr>
          <w:rFonts w:ascii="Times New Roman" w:hAnsi="Times New Roman"/>
          <w:sz w:val="25"/>
          <w:szCs w:val="25"/>
          <w:rtl w:val="0"/>
        </w:rPr>
        <w:t>.</w:t>
      </w:r>
    </w:p>
    <w:p>
      <w:pPr>
        <w:pStyle w:val="Normal.0"/>
        <w:spacing w:line="20" w:lineRule="atLeast"/>
        <w:ind w:left="360" w:firstLine="0"/>
        <w:rPr>
          <w:rFonts w:ascii="Times New Roman" w:cs="Times New Roman" w:hAnsi="Times New Roman" w:eastAsia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  <w:rtl w:val="0"/>
          <w:lang w:val="en-US"/>
        </w:rPr>
        <w:t xml:space="preserve">2)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Значение проницаемости</w:t>
      </w:r>
      <w:r>
        <w:rPr>
          <w:rFonts w:ascii="Times New Roman" w:hAnsi="Times New Roman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указанное в таблице</w:t>
      </w:r>
      <w:r>
        <w:rPr>
          <w:rFonts w:ascii="Times New Roman" w:hAnsi="Times New Roman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является средним значением</w:t>
      </w:r>
      <w:r>
        <w:rPr>
          <w:rFonts w:ascii="Times New Roman" w:hAnsi="Times New Roman"/>
          <w:sz w:val="25"/>
          <w:szCs w:val="25"/>
          <w:rtl w:val="0"/>
        </w:rPr>
        <w:t xml:space="preserve">.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Поток пермеата одного мембранного элемента допускается не более ±</w:t>
      </w:r>
      <w:r>
        <w:rPr>
          <w:rFonts w:ascii="Times New Roman" w:hAnsi="Times New Roman"/>
          <w:sz w:val="25"/>
          <w:szCs w:val="25"/>
          <w:rtl w:val="0"/>
        </w:rPr>
        <w:t xml:space="preserve">15%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от номинального значения</w:t>
      </w:r>
      <w:r>
        <w:rPr>
          <w:rFonts w:ascii="Times New Roman" w:hAnsi="Times New Roman"/>
          <w:sz w:val="25"/>
          <w:szCs w:val="25"/>
          <w:rtl w:val="0"/>
        </w:rPr>
        <w:t>.</w:t>
      </w:r>
    </w:p>
    <w:p>
      <w:pPr>
        <w:pStyle w:val="Normal.0"/>
        <w:spacing w:line="20" w:lineRule="atLeast"/>
        <w:ind w:left="360" w:firstLine="0"/>
        <w:rPr>
          <w:rFonts w:ascii="Times New Roman" w:cs="Times New Roman" w:hAnsi="Times New Roman" w:eastAsia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  <w:rtl w:val="0"/>
          <w:lang w:val="en-US"/>
        </w:rPr>
        <w:t xml:space="preserve">3)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 xml:space="preserve">Все мембранные элементы влажного типа были строго протестированы перед отъездом с завода и обработаны </w:t>
      </w:r>
      <w:r>
        <w:rPr>
          <w:rFonts w:ascii="Times New Roman" w:hAnsi="Times New Roman"/>
          <w:sz w:val="25"/>
          <w:szCs w:val="25"/>
          <w:rtl w:val="0"/>
        </w:rPr>
        <w:t xml:space="preserve">1,0% -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 xml:space="preserve">ным сероводородом натрия </w:t>
      </w:r>
      <w:r>
        <w:rPr>
          <w:rFonts w:ascii="Times New Roman" w:hAnsi="Times New Roman"/>
          <w:sz w:val="25"/>
          <w:szCs w:val="25"/>
          <w:rtl w:val="0"/>
        </w:rPr>
        <w:t xml:space="preserve">(10% -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ный глицериновый антифриз требуется зимой</w:t>
      </w:r>
      <w:r>
        <w:rPr>
          <w:rFonts w:ascii="Times New Roman" w:hAnsi="Times New Roman"/>
          <w:sz w:val="25"/>
          <w:szCs w:val="25"/>
          <w:rtl w:val="0"/>
        </w:rPr>
        <w:t xml:space="preserve">) </w:t>
      </w:r>
      <w:r>
        <w:rPr>
          <w:rFonts w:ascii="Times New Roman" w:hAnsi="Times New Roman" w:hint="default"/>
          <w:sz w:val="25"/>
          <w:szCs w:val="25"/>
          <w:rtl w:val="0"/>
        </w:rPr>
        <w:t>для хранения</w:t>
      </w:r>
      <w:r>
        <w:rPr>
          <w:rFonts w:ascii="Times New Roman" w:hAnsi="Times New Roman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затем запечатаны полиэтиленовым пакетом в вакууме и далее упакованы в картонные коробки</w:t>
      </w:r>
      <w:r>
        <w:rPr>
          <w:rFonts w:ascii="Times New Roman" w:hAnsi="Times New Roman"/>
          <w:sz w:val="25"/>
          <w:szCs w:val="25"/>
          <w:rtl w:val="0"/>
        </w:rPr>
        <w:t>.</w:t>
      </w:r>
    </w:p>
    <w:p>
      <w:pPr>
        <w:pStyle w:val="Normal.0"/>
        <w:spacing w:line="20" w:lineRule="atLeast"/>
        <w:ind w:left="360" w:firstLine="0"/>
        <w:rPr>
          <w:rFonts w:ascii="Times New Roman" w:cs="Times New Roman" w:hAnsi="Times New Roman" w:eastAsia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  <w:rtl w:val="0"/>
          <w:lang w:val="en-US"/>
        </w:rPr>
        <w:t xml:space="preserve">4)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Используемая мембрана должна оставаться влажной после использования</w:t>
      </w:r>
      <w:r>
        <w:rPr>
          <w:rFonts w:ascii="Times New Roman" w:hAnsi="Times New Roman"/>
          <w:sz w:val="25"/>
          <w:szCs w:val="25"/>
          <w:rtl w:val="0"/>
        </w:rPr>
        <w:t xml:space="preserve">;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в долгосрочной приостановке для предотвращения размножения микробов настоятельно рекомендуется замочить мембранные элементы защитным раствором</w:t>
      </w:r>
      <w:r>
        <w:rPr>
          <w:rFonts w:ascii="Times New Roman" w:hAnsi="Times New Roman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приготовленным с отфильтрованной водой</w:t>
      </w:r>
      <w:r>
        <w:rPr>
          <w:rFonts w:ascii="Times New Roman" w:hAnsi="Times New Roman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 xml:space="preserve">содержащей </w:t>
      </w:r>
      <w:r>
        <w:rPr>
          <w:rFonts w:ascii="Times New Roman" w:hAnsi="Times New Roman"/>
          <w:sz w:val="25"/>
          <w:szCs w:val="25"/>
          <w:rtl w:val="0"/>
        </w:rPr>
        <w:t xml:space="preserve">1,0% </w:t>
      </w:r>
      <w:r>
        <w:rPr>
          <w:rFonts w:ascii="Times New Roman" w:hAnsi="Times New Roman" w:hint="default"/>
          <w:sz w:val="25"/>
          <w:szCs w:val="25"/>
          <w:rtl w:val="0"/>
        </w:rPr>
        <w:t xml:space="preserve">сероводорода натрия </w:t>
      </w:r>
      <w:r>
        <w:rPr>
          <w:rFonts w:ascii="Times New Roman" w:hAnsi="Times New Roman"/>
          <w:sz w:val="25"/>
          <w:szCs w:val="25"/>
          <w:rtl w:val="0"/>
        </w:rPr>
        <w:t>(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пищевого назначения</w:t>
      </w:r>
      <w:r>
        <w:rPr>
          <w:rFonts w:ascii="Times New Roman" w:hAnsi="Times New Roman"/>
          <w:sz w:val="25"/>
          <w:szCs w:val="25"/>
          <w:rtl w:val="0"/>
        </w:rPr>
        <w:t>).</w:t>
      </w:r>
    </w:p>
    <w:p>
      <w:pPr>
        <w:pStyle w:val="Normal.0"/>
        <w:spacing w:line="20" w:lineRule="atLeast"/>
        <w:ind w:left="360" w:firstLine="0"/>
        <w:rPr>
          <w:rFonts w:ascii="Times New Roman" w:cs="Times New Roman" w:hAnsi="Times New Roman" w:eastAsia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  <w:rtl w:val="0"/>
          <w:lang w:val="en-US"/>
        </w:rPr>
        <w:t xml:space="preserve">5)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 xml:space="preserve">Используйте промывку под низким давлением в течение </w:t>
      </w:r>
      <w:r>
        <w:rPr>
          <w:rFonts w:ascii="Times New Roman" w:hAnsi="Times New Roman"/>
          <w:sz w:val="25"/>
          <w:szCs w:val="25"/>
          <w:rtl w:val="0"/>
        </w:rPr>
        <w:t xml:space="preserve">15-25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 xml:space="preserve">минут и промывку под высоким давлением в течение </w:t>
      </w:r>
      <w:r>
        <w:rPr>
          <w:rFonts w:ascii="Times New Roman" w:hAnsi="Times New Roman"/>
          <w:sz w:val="25"/>
          <w:szCs w:val="25"/>
          <w:rtl w:val="0"/>
        </w:rPr>
        <w:t xml:space="preserve">60-90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 xml:space="preserve">минут при первом использовании </w:t>
      </w:r>
      <w:r>
        <w:rPr>
          <w:rFonts w:ascii="Times New Roman" w:hAnsi="Times New Roman"/>
          <w:sz w:val="25"/>
          <w:szCs w:val="25"/>
          <w:rtl w:val="0"/>
        </w:rPr>
        <w:t>(</w:t>
      </w:r>
      <w:r>
        <w:rPr>
          <w:rFonts w:ascii="Times New Roman" w:hAnsi="Times New Roman" w:hint="default"/>
          <w:sz w:val="25"/>
          <w:szCs w:val="25"/>
          <w:rtl w:val="0"/>
        </w:rPr>
        <w:t xml:space="preserve">объем пермеата не менее </w:t>
      </w:r>
      <w:r>
        <w:rPr>
          <w:rFonts w:ascii="Times New Roman" w:hAnsi="Times New Roman"/>
          <w:sz w:val="25"/>
          <w:szCs w:val="25"/>
          <w:rtl w:val="0"/>
        </w:rPr>
        <w:t xml:space="preserve">50% </w:t>
      </w:r>
      <w:r>
        <w:rPr>
          <w:rFonts w:ascii="Times New Roman" w:hAnsi="Times New Roman" w:hint="default"/>
          <w:sz w:val="25"/>
          <w:szCs w:val="25"/>
          <w:rtl w:val="0"/>
        </w:rPr>
        <w:t>от расчетного объема</w:t>
      </w:r>
      <w:r>
        <w:rPr>
          <w:rFonts w:ascii="Times New Roman" w:hAnsi="Times New Roman"/>
          <w:sz w:val="25"/>
          <w:szCs w:val="25"/>
          <w:rtl w:val="0"/>
        </w:rPr>
        <w:t xml:space="preserve">).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Удалите весь пермеат и конденсированную воду</w:t>
      </w:r>
      <w:r>
        <w:rPr>
          <w:rFonts w:ascii="Times New Roman" w:hAnsi="Times New Roman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образовавшуюся в течение первого часа после запуска системы</w:t>
      </w:r>
      <w:r>
        <w:rPr>
          <w:rFonts w:ascii="Times New Roman" w:hAnsi="Times New Roman"/>
          <w:sz w:val="25"/>
          <w:szCs w:val="25"/>
          <w:rtl w:val="0"/>
        </w:rPr>
        <w:t>.</w:t>
      </w:r>
    </w:p>
    <w:p>
      <w:pPr>
        <w:pStyle w:val="Normal.0"/>
        <w:spacing w:line="20" w:lineRule="atLeast"/>
        <w:ind w:left="360" w:firstLine="0"/>
        <w:rPr>
          <w:rFonts w:ascii="Times New Roman" w:cs="Times New Roman" w:hAnsi="Times New Roman" w:eastAsia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  <w:rtl w:val="0"/>
          <w:lang w:val="en-US"/>
        </w:rPr>
        <w:t xml:space="preserve">6)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Во время хранения и эксплуатации строго запрещается добавлять какие</w:t>
      </w:r>
      <w:r>
        <w:rPr>
          <w:rFonts w:ascii="Times New Roman" w:hAnsi="Times New Roman"/>
          <w:sz w:val="25"/>
          <w:szCs w:val="25"/>
          <w:rtl w:val="0"/>
        </w:rPr>
        <w:t>-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либо химические препараты</w:t>
      </w:r>
      <w:r>
        <w:rPr>
          <w:rFonts w:ascii="Times New Roman" w:hAnsi="Times New Roman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которые могут нанести вред мембранным элементам</w:t>
      </w:r>
      <w:r>
        <w:rPr>
          <w:rFonts w:ascii="Times New Roman" w:hAnsi="Times New Roman"/>
          <w:sz w:val="25"/>
          <w:szCs w:val="25"/>
          <w:rtl w:val="0"/>
        </w:rPr>
        <w:t xml:space="preserve">.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В случае любого нарушения при добавлении химического лекарственного средства мы не несем ответственности за любые понесенные убытки</w:t>
      </w:r>
      <w:r>
        <w:rPr>
          <w:rFonts w:ascii="Times New Roman" w:hAnsi="Times New Roman"/>
          <w:sz w:val="25"/>
          <w:szCs w:val="25"/>
          <w:rtl w:val="0"/>
        </w:rPr>
        <w:t>.</w:t>
      </w:r>
    </w:p>
    <w:p>
      <w:pPr>
        <w:pStyle w:val="Normal.0"/>
        <w:spacing w:line="20" w:lineRule="atLeast"/>
        <w:ind w:left="360" w:firstLine="0"/>
      </w:pPr>
      <w:r>
        <w:rPr>
          <w:rFonts w:ascii="Times New Roman" w:hAnsi="Times New Roman"/>
          <w:sz w:val="25"/>
          <w:szCs w:val="25"/>
          <w:rtl w:val="0"/>
          <w:lang w:val="en-US"/>
        </w:rPr>
        <w:t xml:space="preserve">7)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Наряду с техническим развитием и обновлением продукта</w:t>
      </w:r>
      <w:r>
        <w:rPr>
          <w:rFonts w:ascii="Times New Roman" w:hAnsi="Times New Roman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sz w:val="25"/>
          <w:szCs w:val="25"/>
          <w:rtl w:val="0"/>
          <w:lang w:val="ru-RU"/>
        </w:rPr>
        <w:t>вся информация может быть изменена без предварительного уведомления</w:t>
      </w:r>
      <w:r>
        <w:rPr>
          <w:rFonts w:ascii="Times New Roman" w:hAnsi="Times New Roman"/>
          <w:sz w:val="25"/>
          <w:szCs w:val="25"/>
          <w:rtl w:val="0"/>
        </w:rPr>
        <w:t>.</w:t>
      </w:r>
    </w:p>
    <w:sectPr>
      <w:headerReference w:type="default" r:id="rId7"/>
      <w:footerReference w:type="default" r:id="rId8"/>
      <w:pgSz w:w="11900" w:h="16840" w:orient="portrait"/>
      <w:pgMar w:top="1440" w:right="1440" w:bottom="1440" w:left="1440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SimSu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tabs>
        <w:tab w:val="right" w:pos="9000"/>
        <w:tab w:val="clear" w:pos="9020"/>
      </w:tabs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1.jpeg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