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9AE" w:rsidRDefault="002B79AE" w:rsidP="002B79AE"/>
    <w:p w:rsidR="002B79AE" w:rsidRDefault="002B79AE" w:rsidP="002B79AE"/>
    <w:p w:rsidR="002B79AE" w:rsidRDefault="002B79AE" w:rsidP="002B79AE">
      <w:pPr>
        <w:jc w:val="center"/>
      </w:pPr>
      <w:r>
        <w:t xml:space="preserve"> </w:t>
      </w:r>
    </w:p>
    <w:p w:rsidR="002B79AE" w:rsidRDefault="002B79AE" w:rsidP="002B79AE">
      <w:pPr>
        <w:jc w:val="center"/>
      </w:pPr>
      <w:bookmarkStart w:id="0" w:name="_GoBack"/>
      <w:r>
        <w:rPr>
          <w:noProof/>
          <w:lang w:eastAsia="ru-RU"/>
        </w:rPr>
        <w:drawing>
          <wp:inline distT="0" distB="0" distL="0" distR="0">
            <wp:extent cx="5800725" cy="3209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9" t="-17" r="-9" b="-17"/>
                    <a:stretch>
                      <a:fillRect/>
                    </a:stretch>
                  </pic:blipFill>
                  <pic:spPr bwMode="auto">
                    <a:xfrm>
                      <a:off x="0" y="0"/>
                      <a:ext cx="5800725" cy="3209925"/>
                    </a:xfrm>
                    <a:prstGeom prst="rect">
                      <a:avLst/>
                    </a:prstGeom>
                    <a:solidFill>
                      <a:srgbClr val="FFFFFF"/>
                    </a:solidFill>
                    <a:ln>
                      <a:noFill/>
                    </a:ln>
                  </pic:spPr>
                </pic:pic>
              </a:graphicData>
            </a:graphic>
          </wp:inline>
        </w:drawing>
      </w:r>
      <w:bookmarkEnd w:id="0"/>
    </w:p>
    <w:p w:rsidR="002B79AE" w:rsidRDefault="002B79AE" w:rsidP="002B79AE">
      <w:pPr>
        <w:jc w:val="center"/>
      </w:pPr>
      <w:r>
        <w:t xml:space="preserve">   </w:t>
      </w:r>
      <w:r>
        <w:rPr>
          <w:b/>
          <w:color w:val="000000"/>
          <w:kern w:val="2"/>
          <w:sz w:val="30"/>
          <w:szCs w:val="30"/>
        </w:rPr>
        <w:t>Осторожно: сухая трава!</w:t>
      </w:r>
    </w:p>
    <w:p w:rsidR="002B79AE" w:rsidRDefault="002B79AE" w:rsidP="002B79AE">
      <w:pPr>
        <w:ind w:left="-426" w:right="-427" w:firstLine="1134"/>
        <w:jc w:val="both"/>
      </w:pPr>
      <w:r>
        <w:rPr>
          <w:sz w:val="26"/>
          <w:szCs w:val="26"/>
        </w:rPr>
        <w:t xml:space="preserve">Природные пожары относятся к числу очень опасных и часто повторяющихся происшествий. Они становятся для страны настоящим бедствием: сгорают гигантские площади лесных массивов, гибнут животные и растения, уничтожаются уникальные экосистемы. С пожарами в атмосферу выбрасывается огромное количество дыма, содержащего такие опасные загрязнители как углекислый газ, угарный газ и окись азота. От задымления страдают жители населенных пунктов. Нередко такие пожары становятся причиной </w:t>
      </w:r>
      <w:proofErr w:type="spellStart"/>
      <w:r>
        <w:rPr>
          <w:sz w:val="26"/>
          <w:szCs w:val="26"/>
        </w:rPr>
        <w:t>травмирования</w:t>
      </w:r>
      <w:proofErr w:type="spellEnd"/>
      <w:r>
        <w:rPr>
          <w:sz w:val="26"/>
          <w:szCs w:val="26"/>
        </w:rPr>
        <w:t>, заболеваний и гибели людей. Источником возникновения природных пожаров могут быть естественные причины: разряд молнии, самовозгорание, трение деревьев. Но они составляют незначительную долю. В подавляющем большинстве случаев природные пожары являются следствием нарушения человеком требований пожарной безопасности. В ряде случаев природные пожары становятся следствием умышленного поджога, техногенной аварии или катастрофы.</w:t>
      </w:r>
    </w:p>
    <w:p w:rsidR="002B79AE" w:rsidRDefault="002B79AE" w:rsidP="002B79AE">
      <w:pPr>
        <w:ind w:left="-426" w:right="-427" w:firstLine="1134"/>
        <w:jc w:val="both"/>
      </w:pPr>
      <w:r>
        <w:rPr>
          <w:sz w:val="26"/>
          <w:szCs w:val="26"/>
        </w:rPr>
        <w:t>Самые распространенные природные пожары – это травяные палы. Граждане сжигают мусор и прошлогоднюю траву на своих огородах и дворовых территориях, а дети поджигают траву у дорог и на пустырях для развлечения. А ведь в это же время, когда подразделения пожарной охраны заняты тушением сухой травы, где-то может произойти действительно серьезный пожар, и под угрозой может оказаться чья-то жизнь.</w:t>
      </w:r>
    </w:p>
    <w:p w:rsidR="002B79AE" w:rsidRDefault="002B79AE" w:rsidP="002B79AE">
      <w:pPr>
        <w:ind w:left="-426" w:right="-427" w:firstLine="1134"/>
        <w:jc w:val="both"/>
      </w:pPr>
      <w:r>
        <w:rPr>
          <w:sz w:val="26"/>
          <w:szCs w:val="26"/>
        </w:rPr>
        <w:t xml:space="preserve">Весной прошлогодняя трава быстро высыхает на солнце и легко загорается от любой искры. Травяные палы быстро распространяются, особенно в ветреные дни. Горение травы, сухостоя – процесс неуправляемый. Остановить хорошо разгоревшийся пожар бывает очень непросто. Нередко от травяных пожаров сгорают дома или даже целые дачные поселки и деревни. Травяные палы вызывают очень сильное задымление. </w:t>
      </w:r>
    </w:p>
    <w:p w:rsidR="002B79AE" w:rsidRDefault="002B79AE" w:rsidP="002B79AE">
      <w:pPr>
        <w:ind w:left="-426" w:right="-427" w:firstLine="1134"/>
        <w:jc w:val="both"/>
      </w:pPr>
      <w:r>
        <w:rPr>
          <w:sz w:val="26"/>
          <w:szCs w:val="26"/>
        </w:rPr>
        <w:t>Чтобы в ваш дом не пришла беда, соблюдайте требования пожарной безопасности, установленные Постановлением Правительства РФ от 16 сентября 2020 г. №1479"Об утверждении Правил противопожарного режима в Российской Федерации":</w:t>
      </w:r>
    </w:p>
    <w:p w:rsidR="002B79AE" w:rsidRDefault="002B79AE" w:rsidP="002B79AE">
      <w:pPr>
        <w:ind w:left="-426" w:right="-427"/>
        <w:jc w:val="both"/>
      </w:pPr>
      <w:r>
        <w:rPr>
          <w:sz w:val="26"/>
          <w:szCs w:val="26"/>
        </w:rPr>
        <w:t>1. 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2B79AE" w:rsidRDefault="002B79AE" w:rsidP="002B79AE">
      <w:pPr>
        <w:ind w:left="-426" w:right="-427"/>
        <w:jc w:val="both"/>
      </w:pPr>
      <w:r>
        <w:rPr>
          <w:sz w:val="26"/>
          <w:szCs w:val="26"/>
        </w:rPr>
        <w:t>2. Собственники частных домовладений, обеспечивают очистку территорий своих домовладений от горючих отходов, мусора, тары и сухой растительности.</w:t>
      </w:r>
    </w:p>
    <w:p w:rsidR="002B79AE" w:rsidRDefault="002B79AE" w:rsidP="002B79AE">
      <w:pPr>
        <w:ind w:left="-426" w:right="-427"/>
        <w:jc w:val="both"/>
      </w:pPr>
      <w:r>
        <w:rPr>
          <w:sz w:val="26"/>
          <w:szCs w:val="26"/>
        </w:rPr>
        <w:lastRenderedPageBreak/>
        <w:t xml:space="preserve">3. </w:t>
      </w:r>
      <w:r>
        <w:rPr>
          <w:rFonts w:eastAsia="Calibri"/>
          <w:sz w:val="26"/>
          <w:szCs w:val="26"/>
          <w:lang w:eastAsia="en-US"/>
        </w:rPr>
        <w:t>Использование открытого огня должно осуществляться в специально оборудованных местах при выполнении следующих требований:</w:t>
      </w:r>
    </w:p>
    <w:p w:rsidR="002B79AE" w:rsidRDefault="002B79AE" w:rsidP="002B79AE">
      <w:pPr>
        <w:ind w:left="-426" w:right="-427"/>
        <w:jc w:val="both"/>
      </w:pPr>
      <w:proofErr w:type="gramStart"/>
      <w:r>
        <w:rPr>
          <w:rFonts w:eastAsia="Calibri"/>
          <w:sz w:val="26"/>
          <w:szCs w:val="26"/>
          <w:lang w:eastAsia="en-US"/>
        </w:rPr>
        <w:t>-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w:t>
      </w:r>
      <w:proofErr w:type="gramEnd"/>
      <w:r>
        <w:rPr>
          <w:rFonts w:eastAsia="Calibri"/>
          <w:sz w:val="26"/>
          <w:szCs w:val="26"/>
          <w:lang w:eastAsia="en-US"/>
        </w:rPr>
        <w:t xml:space="preserve"> 1 куб. метра;</w:t>
      </w:r>
    </w:p>
    <w:p w:rsidR="002B79AE" w:rsidRDefault="002B79AE" w:rsidP="002B79AE">
      <w:pPr>
        <w:ind w:left="-426" w:right="-427"/>
        <w:jc w:val="both"/>
      </w:pPr>
      <w:r>
        <w:rPr>
          <w:rFonts w:eastAsia="Calibri"/>
          <w:sz w:val="26"/>
          <w:szCs w:val="26"/>
          <w:lang w:eastAsia="en-US"/>
        </w:rPr>
        <w:t>-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2B79AE" w:rsidRDefault="002B79AE" w:rsidP="002B79AE">
      <w:pPr>
        <w:ind w:left="-426" w:right="-427"/>
        <w:jc w:val="both"/>
      </w:pPr>
      <w:r>
        <w:rPr>
          <w:rFonts w:eastAsia="Calibri"/>
          <w:sz w:val="26"/>
          <w:szCs w:val="26"/>
          <w:lang w:eastAsia="en-US"/>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2B79AE" w:rsidRDefault="002B79AE" w:rsidP="002B79AE">
      <w:pPr>
        <w:ind w:left="-426" w:right="-427"/>
        <w:jc w:val="both"/>
      </w:pPr>
      <w:r>
        <w:rPr>
          <w:rFonts w:eastAsia="Calibri"/>
          <w:sz w:val="26"/>
          <w:szCs w:val="26"/>
          <w:lang w:eastAsia="en-US"/>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B79AE" w:rsidRDefault="002B79AE" w:rsidP="002B79AE">
      <w:pPr>
        <w:ind w:left="-426" w:right="-427"/>
        <w:jc w:val="both"/>
      </w:pPr>
      <w:r>
        <w:rPr>
          <w:rFonts w:eastAsia="Calibri"/>
          <w:sz w:val="26"/>
          <w:szCs w:val="26"/>
          <w:lang w:eastAsia="en-US"/>
        </w:rPr>
        <w:t>4. При использовании открытого огня для сжигания сухой травы, веток, листвы и другой горючей растительности в металлической емкости, место расположения данной емкости до ближайшего объекта может быть уменьшено до 25 метров.</w:t>
      </w:r>
    </w:p>
    <w:p w:rsidR="002B79AE" w:rsidRDefault="002B79AE" w:rsidP="002B79AE">
      <w:pPr>
        <w:ind w:left="-426" w:right="-427"/>
        <w:jc w:val="both"/>
      </w:pPr>
      <w:r>
        <w:rPr>
          <w:rFonts w:eastAsia="Calibri"/>
          <w:sz w:val="26"/>
          <w:szCs w:val="26"/>
          <w:lang w:eastAsia="en-US"/>
        </w:rPr>
        <w:t>5.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B79AE" w:rsidRDefault="002B79AE" w:rsidP="002B79AE">
      <w:pPr>
        <w:ind w:left="-426" w:right="-427"/>
        <w:jc w:val="both"/>
      </w:pPr>
      <w:r>
        <w:rPr>
          <w:rFonts w:eastAsia="Calibri"/>
          <w:sz w:val="26"/>
          <w:szCs w:val="26"/>
          <w:lang w:eastAsia="en-US"/>
        </w:rPr>
        <w:t xml:space="preserve">6. </w:t>
      </w:r>
      <w:proofErr w:type="gramStart"/>
      <w:r>
        <w:rPr>
          <w:rFonts w:eastAsia="Calibri"/>
          <w:sz w:val="26"/>
          <w:szCs w:val="26"/>
          <w:lang w:eastAsia="en-US"/>
        </w:rPr>
        <w:t>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2B79AE" w:rsidRDefault="002B79AE" w:rsidP="002B79AE">
      <w:pPr>
        <w:ind w:left="-426" w:right="-427"/>
        <w:jc w:val="both"/>
      </w:pPr>
      <w:r>
        <w:rPr>
          <w:rFonts w:eastAsia="Calibri"/>
          <w:sz w:val="26"/>
          <w:szCs w:val="26"/>
          <w:lang w:eastAsia="en-US"/>
        </w:rPr>
        <w:t xml:space="preserve">7. В течение всего периода использования открытого огня до прекращения процесса тления должен осуществляться </w:t>
      </w:r>
      <w:proofErr w:type="gramStart"/>
      <w:r>
        <w:rPr>
          <w:rFonts w:eastAsia="Calibri"/>
          <w:sz w:val="26"/>
          <w:szCs w:val="26"/>
          <w:lang w:eastAsia="en-US"/>
        </w:rPr>
        <w:t>контроль за</w:t>
      </w:r>
      <w:proofErr w:type="gramEnd"/>
      <w:r>
        <w:rPr>
          <w:rFonts w:eastAsia="Calibri"/>
          <w:sz w:val="26"/>
          <w:szCs w:val="26"/>
          <w:lang w:eastAsia="en-US"/>
        </w:rPr>
        <w:t xml:space="preserve"> нераспространением горения (тления) за пределы очаговой зоны.</w:t>
      </w:r>
    </w:p>
    <w:p w:rsidR="002B79AE" w:rsidRDefault="002B79AE" w:rsidP="002B79AE">
      <w:pPr>
        <w:ind w:left="-426" w:right="-427"/>
        <w:jc w:val="both"/>
      </w:pPr>
      <w:r>
        <w:rPr>
          <w:rFonts w:eastAsia="Calibri"/>
          <w:sz w:val="26"/>
          <w:szCs w:val="26"/>
          <w:lang w:eastAsia="en-US"/>
        </w:rPr>
        <w:t>8. Использование открытого огня запрещается:</w:t>
      </w:r>
    </w:p>
    <w:p w:rsidR="002B79AE" w:rsidRDefault="002B79AE" w:rsidP="002B79AE">
      <w:pPr>
        <w:ind w:left="-426" w:right="-427"/>
        <w:jc w:val="both"/>
      </w:pPr>
      <w:r>
        <w:rPr>
          <w:rFonts w:eastAsia="Calibri"/>
          <w:sz w:val="26"/>
          <w:szCs w:val="26"/>
          <w:lang w:eastAsia="en-US"/>
        </w:rPr>
        <w:t>- на торфяных почвах;</w:t>
      </w:r>
    </w:p>
    <w:p w:rsidR="002B79AE" w:rsidRDefault="002B79AE" w:rsidP="002B79AE">
      <w:pPr>
        <w:ind w:left="-426" w:right="-427"/>
        <w:jc w:val="both"/>
      </w:pPr>
      <w:r>
        <w:rPr>
          <w:rFonts w:eastAsia="Calibri"/>
          <w:sz w:val="26"/>
          <w:szCs w:val="26"/>
          <w:lang w:eastAsia="en-US"/>
        </w:rPr>
        <w:t>- при установлении на соответствующей территории особого противопожарного режима;</w:t>
      </w:r>
    </w:p>
    <w:p w:rsidR="002B79AE" w:rsidRDefault="002B79AE" w:rsidP="002B79AE">
      <w:pPr>
        <w:ind w:left="-426" w:right="-427"/>
        <w:jc w:val="both"/>
      </w:pPr>
      <w:r>
        <w:rPr>
          <w:rFonts w:eastAsia="Calibri"/>
          <w:sz w:val="26"/>
          <w:szCs w:val="26"/>
          <w:lang w:eastAsia="en-US"/>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B79AE" w:rsidRDefault="002B79AE" w:rsidP="002B79AE">
      <w:pPr>
        <w:ind w:left="-426" w:right="-427"/>
        <w:jc w:val="both"/>
      </w:pPr>
      <w:r>
        <w:rPr>
          <w:rFonts w:eastAsia="Calibri"/>
          <w:sz w:val="26"/>
          <w:szCs w:val="26"/>
          <w:lang w:eastAsia="en-US"/>
        </w:rPr>
        <w:t>- под кронами деревьев хвойных пород;</w:t>
      </w:r>
    </w:p>
    <w:p w:rsidR="002B79AE" w:rsidRDefault="002B79AE" w:rsidP="002B79AE">
      <w:pPr>
        <w:ind w:left="-426" w:right="-427"/>
        <w:jc w:val="both"/>
      </w:pPr>
      <w:r>
        <w:rPr>
          <w:rFonts w:eastAsia="Calibri"/>
          <w:sz w:val="26"/>
          <w:szCs w:val="26"/>
          <w:lang w:eastAsia="en-US"/>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2B79AE" w:rsidRDefault="002B79AE" w:rsidP="002B79AE">
      <w:pPr>
        <w:ind w:left="-426" w:right="-427"/>
        <w:jc w:val="both"/>
      </w:pPr>
      <w:r>
        <w:rPr>
          <w:rFonts w:eastAsia="Calibri"/>
          <w:sz w:val="26"/>
          <w:szCs w:val="26"/>
          <w:lang w:eastAsia="en-US"/>
        </w:rPr>
        <w:t>9. В процессе использования открытого огня запрещается:</w:t>
      </w:r>
    </w:p>
    <w:p w:rsidR="002B79AE" w:rsidRDefault="002B79AE" w:rsidP="002B79AE">
      <w:pPr>
        <w:ind w:left="-426" w:right="-427"/>
        <w:jc w:val="both"/>
      </w:pPr>
      <w:r>
        <w:rPr>
          <w:rFonts w:eastAsia="Calibri"/>
          <w:sz w:val="26"/>
          <w:szCs w:val="26"/>
          <w:lang w:eastAsia="en-US"/>
        </w:rPr>
        <w:lastRenderedPageBreak/>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B79AE" w:rsidRDefault="002B79AE" w:rsidP="002B79AE">
      <w:pPr>
        <w:ind w:left="-426" w:right="-427"/>
        <w:jc w:val="both"/>
      </w:pPr>
      <w:r>
        <w:rPr>
          <w:rFonts w:eastAsia="Calibri"/>
          <w:sz w:val="26"/>
          <w:szCs w:val="26"/>
          <w:lang w:eastAsia="en-US"/>
        </w:rPr>
        <w:t>- оставлять место очага горения без присмотра до полного прекращения горения (тления);</w:t>
      </w:r>
    </w:p>
    <w:p w:rsidR="002B79AE" w:rsidRDefault="002B79AE" w:rsidP="002B79AE">
      <w:pPr>
        <w:ind w:left="-426" w:right="-427"/>
        <w:jc w:val="both"/>
      </w:pPr>
      <w:r>
        <w:rPr>
          <w:rFonts w:eastAsia="Calibri"/>
          <w:sz w:val="26"/>
          <w:szCs w:val="26"/>
          <w:lang w:eastAsia="en-US"/>
        </w:rPr>
        <w:t>- располагать легковоспламеняющиеся и горючие жидкости, а также горючие материалы вблизи очага горения.</w:t>
      </w:r>
    </w:p>
    <w:p w:rsidR="002B79AE" w:rsidRDefault="002B79AE" w:rsidP="002B79AE">
      <w:pPr>
        <w:ind w:left="-426" w:right="-427"/>
        <w:jc w:val="both"/>
      </w:pPr>
      <w:r>
        <w:rPr>
          <w:rFonts w:eastAsia="Calibri"/>
          <w:sz w:val="26"/>
          <w:szCs w:val="26"/>
          <w:lang w:eastAsia="en-US"/>
        </w:rPr>
        <w:t>10.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2B79AE" w:rsidRDefault="002B79AE" w:rsidP="002B79AE">
      <w:pPr>
        <w:ind w:left="-426" w:right="-427"/>
        <w:jc w:val="both"/>
        <w:rPr>
          <w:sz w:val="26"/>
          <w:szCs w:val="26"/>
        </w:rPr>
      </w:pPr>
    </w:p>
    <w:p w:rsidR="002B79AE" w:rsidRDefault="002B79AE" w:rsidP="002B79AE">
      <w:pPr>
        <w:ind w:left="-426" w:right="-427"/>
        <w:jc w:val="both"/>
      </w:pPr>
      <w:r>
        <w:rPr>
          <w:sz w:val="26"/>
          <w:szCs w:val="26"/>
        </w:rPr>
        <w:tab/>
      </w:r>
      <w:r>
        <w:rPr>
          <w:b/>
          <w:bCs/>
          <w:sz w:val="26"/>
          <w:szCs w:val="26"/>
        </w:rPr>
        <w:t>За нарушение вышеуказанных требований предусмотрена административная ответственность по статье 20.4 КоАП РФ</w:t>
      </w:r>
      <w:proofErr w:type="gramStart"/>
      <w:r>
        <w:rPr>
          <w:b/>
          <w:bCs/>
          <w:sz w:val="26"/>
          <w:szCs w:val="26"/>
        </w:rPr>
        <w:t xml:space="preserve"> ,</w:t>
      </w:r>
      <w:proofErr w:type="gramEnd"/>
      <w:r>
        <w:rPr>
          <w:b/>
          <w:bCs/>
          <w:sz w:val="26"/>
          <w:szCs w:val="26"/>
        </w:rPr>
        <w:t xml:space="preserve"> которая  влечет предупреждение или наложение административного штрафа на граждан в размере от 5 тысяч до 15 тысяч рублей; на должностных лиц - от 20 тысяч до 30 тысяч рублей; на лиц, осуществляющих предпринимательскую деятельность без образования юридического лица, - от 40 тысяч до 60 тысяч рублей; на юридических лиц - от 300 тысяч до 400 тысяч рублей.</w:t>
      </w:r>
    </w:p>
    <w:p w:rsidR="002B79AE" w:rsidRDefault="002B79AE" w:rsidP="002B79AE">
      <w:pPr>
        <w:ind w:left="-426" w:right="-427"/>
        <w:jc w:val="both"/>
      </w:pPr>
      <w:r>
        <w:rPr>
          <w:b/>
          <w:bCs/>
          <w:sz w:val="26"/>
          <w:szCs w:val="26"/>
        </w:rPr>
        <w:t xml:space="preserve">2. </w:t>
      </w:r>
      <w:proofErr w:type="gramStart"/>
      <w:r>
        <w:rPr>
          <w:b/>
          <w:bCs/>
          <w:sz w:val="26"/>
          <w:szCs w:val="26"/>
        </w:rPr>
        <w:t>Нарушения ТПБ, совершенные в условиях особого противопожарного режима, - влекут наложение административного штрафа на граждан в размере от 10 тысяч до 20 тысяч рублей; на должностных лиц - от 30 тысяч до 60 тысяч рублей; на лиц, осуществляющих предпринимательскую деятельность без образования юридического лица, - от 60 тысяч до 80 тысяч рублей; на юридических лиц - от 400 тысяч до 800 тысяч рублей.</w:t>
      </w:r>
      <w:proofErr w:type="gramEnd"/>
    </w:p>
    <w:p w:rsidR="002B79AE" w:rsidRDefault="002B79AE" w:rsidP="002B79AE">
      <w:pPr>
        <w:ind w:left="-426" w:right="-427"/>
        <w:jc w:val="both"/>
      </w:pPr>
      <w:r>
        <w:rPr>
          <w:b/>
          <w:bCs/>
          <w:sz w:val="26"/>
          <w:szCs w:val="26"/>
        </w:rPr>
        <w:tab/>
        <w:t>При наступлении серьезных последствий в результате перехода горения сухой растительности на жилой сектор предусмотрена уголовная ответственность.</w:t>
      </w:r>
    </w:p>
    <w:p w:rsidR="002B79AE" w:rsidRDefault="002B79AE" w:rsidP="002B79AE">
      <w:pPr>
        <w:ind w:firstLine="709"/>
        <w:jc w:val="both"/>
      </w:pPr>
      <w:r>
        <w:rPr>
          <w:sz w:val="26"/>
          <w:szCs w:val="26"/>
        </w:rPr>
        <w:t xml:space="preserve"> Помните! Соблюдение мер пожарной безопасности позволит предупредить пожар, тем самым уберечь и сохранить жизнь, здоровье и имущество вам, вашим близким, друзьям и соседям. Каждый гражданин при обнаружении пожара или признаков горения должен незамедлительно сообщить об этом в пожарную охрану или единую диспетчерскую службу, указав адрес объекта, место возникновения пожара, а также сообщить свои личные данные. При возможности, если это не угрожает жизни и здоровью, следует принять меры по эвакуации людей и тушению пожара подручными или первичными средствами пожаротушения.</w:t>
      </w:r>
    </w:p>
    <w:p w:rsidR="002B79AE" w:rsidRDefault="002B79AE" w:rsidP="002B79AE">
      <w:pPr>
        <w:tabs>
          <w:tab w:val="left" w:pos="8238"/>
        </w:tabs>
        <w:ind w:firstLine="851"/>
        <w:jc w:val="both"/>
      </w:pPr>
      <w:r>
        <w:rPr>
          <w:sz w:val="26"/>
          <w:szCs w:val="26"/>
        </w:rPr>
        <w:t>В случае возникновения чрезвычайной ситуации звоните в ЕДИНУЮ СЛУЖБУ СПАСЕНИЯ по телефону «112» или «101».</w:t>
      </w:r>
    </w:p>
    <w:p w:rsidR="002B79AE" w:rsidRDefault="002B79AE" w:rsidP="002B79AE">
      <w:pPr>
        <w:tabs>
          <w:tab w:val="left" w:pos="8238"/>
        </w:tabs>
        <w:ind w:firstLine="851"/>
        <w:jc w:val="both"/>
        <w:rPr>
          <w:sz w:val="26"/>
          <w:szCs w:val="26"/>
        </w:rPr>
      </w:pPr>
    </w:p>
    <w:p w:rsidR="002B79AE" w:rsidRDefault="002B79AE" w:rsidP="002B79AE">
      <w:pPr>
        <w:tabs>
          <w:tab w:val="left" w:pos="8238"/>
        </w:tabs>
        <w:ind w:firstLine="851"/>
        <w:jc w:val="both"/>
        <w:rPr>
          <w:sz w:val="26"/>
          <w:szCs w:val="26"/>
        </w:rPr>
      </w:pPr>
    </w:p>
    <w:p w:rsidR="002B79AE" w:rsidRDefault="002B79AE" w:rsidP="002B79AE">
      <w:pPr>
        <w:tabs>
          <w:tab w:val="left" w:pos="8238"/>
        </w:tabs>
        <w:ind w:firstLine="851"/>
        <w:jc w:val="both"/>
        <w:rPr>
          <w:sz w:val="26"/>
          <w:szCs w:val="26"/>
        </w:rPr>
      </w:pPr>
    </w:p>
    <w:p w:rsidR="002B79AE" w:rsidRDefault="002B79AE" w:rsidP="002B79AE">
      <w:pPr>
        <w:tabs>
          <w:tab w:val="left" w:pos="8238"/>
        </w:tabs>
        <w:ind w:firstLine="851"/>
        <w:jc w:val="center"/>
      </w:pPr>
    </w:p>
    <w:p w:rsidR="002B79AE" w:rsidRDefault="002B79AE" w:rsidP="002B79AE">
      <w:pPr>
        <w:tabs>
          <w:tab w:val="left" w:pos="8238"/>
        </w:tabs>
        <w:ind w:firstLine="851"/>
        <w:jc w:val="both"/>
      </w:pPr>
      <w:r>
        <w:rPr>
          <w:sz w:val="26"/>
          <w:szCs w:val="26"/>
        </w:rPr>
        <w:t xml:space="preserve">                                                              </w:t>
      </w:r>
    </w:p>
    <w:p w:rsidR="002B79AE" w:rsidRDefault="002B79AE" w:rsidP="002B79AE">
      <w:pPr>
        <w:jc w:val="center"/>
        <w:rPr>
          <w:sz w:val="28"/>
          <w:szCs w:val="28"/>
        </w:rPr>
      </w:pPr>
    </w:p>
    <w:p w:rsidR="002B79AE" w:rsidRDefault="002B79AE" w:rsidP="002B79AE">
      <w:pPr>
        <w:jc w:val="center"/>
        <w:rPr>
          <w:sz w:val="28"/>
          <w:szCs w:val="28"/>
        </w:rPr>
      </w:pPr>
    </w:p>
    <w:p w:rsidR="002B79AE" w:rsidRDefault="002B79AE" w:rsidP="002B79AE">
      <w:pPr>
        <w:jc w:val="center"/>
        <w:rPr>
          <w:sz w:val="28"/>
          <w:szCs w:val="28"/>
        </w:rPr>
      </w:pPr>
    </w:p>
    <w:p w:rsidR="002B79AE" w:rsidRDefault="002B79AE" w:rsidP="002B79AE">
      <w:pPr>
        <w:jc w:val="center"/>
        <w:rPr>
          <w:sz w:val="28"/>
          <w:szCs w:val="28"/>
        </w:rPr>
      </w:pPr>
    </w:p>
    <w:p w:rsidR="002B79AE" w:rsidRDefault="002B79AE" w:rsidP="002B79AE">
      <w:pPr>
        <w:jc w:val="both"/>
        <w:rPr>
          <w:sz w:val="28"/>
          <w:szCs w:val="28"/>
        </w:rPr>
      </w:pPr>
    </w:p>
    <w:p w:rsidR="002B79AE" w:rsidRDefault="002B79AE" w:rsidP="002B79AE">
      <w:pPr>
        <w:ind w:right="-3"/>
        <w:rPr>
          <w:sz w:val="28"/>
          <w:szCs w:val="28"/>
        </w:rPr>
      </w:pPr>
    </w:p>
    <w:p w:rsidR="004F17B8" w:rsidRDefault="004F17B8"/>
    <w:sectPr w:rsidR="004F17B8">
      <w:pgSz w:w="11906" w:h="16838"/>
      <w:pgMar w:top="568" w:right="1128"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18"/>
    <w:rsid w:val="002B79AE"/>
    <w:rsid w:val="004F17B8"/>
    <w:rsid w:val="00EC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A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9AE"/>
    <w:rPr>
      <w:rFonts w:ascii="Tahoma" w:hAnsi="Tahoma" w:cs="Tahoma"/>
      <w:sz w:val="16"/>
      <w:szCs w:val="16"/>
    </w:rPr>
  </w:style>
  <w:style w:type="character" w:customStyle="1" w:styleId="a4">
    <w:name w:val="Текст выноски Знак"/>
    <w:basedOn w:val="a0"/>
    <w:link w:val="a3"/>
    <w:uiPriority w:val="99"/>
    <w:semiHidden/>
    <w:rsid w:val="002B79AE"/>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AE"/>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9AE"/>
    <w:rPr>
      <w:rFonts w:ascii="Tahoma" w:hAnsi="Tahoma" w:cs="Tahoma"/>
      <w:sz w:val="16"/>
      <w:szCs w:val="16"/>
    </w:rPr>
  </w:style>
  <w:style w:type="character" w:customStyle="1" w:styleId="a4">
    <w:name w:val="Текст выноски Знак"/>
    <w:basedOn w:val="a0"/>
    <w:link w:val="a3"/>
    <w:uiPriority w:val="99"/>
    <w:semiHidden/>
    <w:rsid w:val="002B79A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2023-04-13T08:00:00Z</dcterms:created>
  <dcterms:modified xsi:type="dcterms:W3CDTF">2023-04-13T08:00:00Z</dcterms:modified>
</cp:coreProperties>
</file>