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AB" w:rsidRPr="00F840AB" w:rsidRDefault="00F840AB" w:rsidP="00F840A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Об установлении тарифов на социальные услуги на основании </w:t>
      </w:r>
      <w:proofErr w:type="spellStart"/>
      <w:r w:rsidRPr="00F840A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подушевых</w:t>
      </w:r>
      <w:proofErr w:type="spellEnd"/>
      <w:r w:rsidRPr="00F840A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 (с изменениями на 17 июня 2020 года)</w:t>
      </w:r>
    </w:p>
    <w:p w:rsidR="00F840AB" w:rsidRPr="00F840AB" w:rsidRDefault="00F840AB" w:rsidP="00F840A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КОМИТЕТ ТАРИФНОГО РЕГУЛИРОВАНИЯ ВОЛГОГРАДСКОЙ ОБЛАСТИ</w:t>
      </w: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ПРИКАЗ</w:t>
      </w: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 25 июня 2015 года N 23/8</w:t>
      </w:r>
      <w:proofErr w:type="gramStart"/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</w:t>
      </w:r>
      <w:proofErr w:type="gramEnd"/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б установлении тарифов на социальные услуги на основании </w:t>
      </w:r>
      <w:proofErr w:type="spellStart"/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подушевых</w:t>
      </w:r>
      <w:proofErr w:type="spellEnd"/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 изменениями на 17 июня 2020 года)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4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приказов комитета тарифного регулирования Волгоградской области от 18.12.2015 N 54/29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06.07.2016 N 26/5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6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15.12.2016 N 49/1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7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01.11.2017 N 40/1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8" w:history="1">
        <w:proofErr w:type="gramStart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</w:t>
        </w:r>
        <w:proofErr w:type="gramEnd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28.11.2018 N 40/2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24.12.2019 N 45/17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0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20.05.2020 N 15/1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1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17.06.2020 N 18/3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F840AB" w:rsidRPr="00F840AB" w:rsidRDefault="00F840AB" w:rsidP="0025419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 </w:t>
      </w:r>
      <w:hyperlink r:id="rId12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3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07 марта 1995 г. N 239 "О мерах по упорядочению государственного регулирования цен (тарифов)"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4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01 декабря 2014 г. N 1285 "О расчете </w:t>
        </w:r>
        <w:proofErr w:type="spellStart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5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Волгоградской областиот</w:t>
        </w:r>
        <w:proofErr w:type="gramEnd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06 ноября 2014 г. N 140-ОД "О социальном обслуживании населения в Волгоградской области"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6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постановлением Администрации Волгоградской области от 24 февраля 2015 г. N 82-п "Об утверждении порядка утверждения тарифов на социальные услуги на основании </w:t>
        </w:r>
        <w:proofErr w:type="spellStart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gramStart"/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приказом комитета социальной защиты населения Волгоградской области от 25 марта 2015 г. N 494 "Об утверждении </w:t>
      </w:r>
      <w:proofErr w:type="spellStart"/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подушевых</w:t>
      </w:r>
      <w:proofErr w:type="spellEnd"/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нормативов финансирования социальных услуг, предоставляемых организациями социального обслуживания населения Волгоградской области, на 2015 год", </w:t>
      </w:r>
      <w:hyperlink r:id="rId17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Положением о комитете тарифного регулирования Волгоградской области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утвержденным </w:t>
      </w:r>
      <w:hyperlink r:id="rId18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Волгоградской области от 06 февраля 2014 г. N 32-п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комитет тарифного регулирования Волгоградской области приказывает:</w:t>
      </w:r>
      <w:proofErr w:type="gramEnd"/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Установить тарифы на социальные услуги на основании </w:t>
      </w:r>
      <w:proofErr w:type="spellStart"/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подушевых</w:t>
      </w:r>
      <w:proofErr w:type="spellEnd"/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 согласно приложению.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Настоящий приказ вступает в силу с 01 августа 2015 года.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(п. 2 в ред. </w:t>
      </w:r>
      <w:hyperlink r:id="rId19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приказа комитета тарифного регулирования Волгоградской области от 18.12.2015 N 54/29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Признать утратившим силу с 01 августа 2015 г. </w:t>
      </w:r>
      <w:hyperlink r:id="rId20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комитета тарифного регулирования Волгоградской области от 19 февраля 2014 г. N 6/2 "Об установлении тарифов на платные социальные услуги, предоставляемые государственными учреждениями социального обслуживания населения Волгоградской области"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комитетатарифного регулированияВолгоградской областиВ.В.ПРОНИН</w:t>
      </w:r>
    </w:p>
    <w:p w:rsidR="00F840AB" w:rsidRPr="00F840AB" w:rsidRDefault="00F840AB" w:rsidP="00F840A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 xml:space="preserve">Приложение. Тарифы на социальные услуги на основании </w:t>
      </w:r>
      <w:proofErr w:type="spellStart"/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подушевых</w:t>
      </w:r>
      <w:proofErr w:type="spellEnd"/>
      <w:r w:rsidRPr="00F840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приказу</w:t>
      </w: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комитета</w:t>
      </w: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тарифного регулирования</w:t>
      </w: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Волгоградской области</w:t>
      </w: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25 июня 2015 г. N 23/8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21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приказов комитета тарифного регулирования Волгоградской области от 06.07.2016 N 26/5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2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15.12.2016 N 49/1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3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01.11.2017 N 40/1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4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28.11.2018 N 40/2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5" w:history="1">
        <w:proofErr w:type="gramStart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</w:t>
        </w:r>
        <w:proofErr w:type="gramEnd"/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24.12.2019 N 45/17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6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20.05.2020 N 15/1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7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17.06.2020 N 18/3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tbl>
      <w:tblPr>
        <w:tblW w:w="0" w:type="auto"/>
        <w:tblInd w:w="-851" w:type="dxa"/>
        <w:tblCellMar>
          <w:left w:w="0" w:type="dxa"/>
          <w:right w:w="0" w:type="dxa"/>
        </w:tblCellMar>
        <w:tblLook w:val="04A0"/>
      </w:tblPr>
      <w:tblGrid>
        <w:gridCol w:w="874"/>
        <w:gridCol w:w="298"/>
        <w:gridCol w:w="2156"/>
        <w:gridCol w:w="298"/>
        <w:gridCol w:w="1074"/>
        <w:gridCol w:w="298"/>
        <w:gridCol w:w="1127"/>
        <w:gridCol w:w="298"/>
        <w:gridCol w:w="1468"/>
        <w:gridCol w:w="298"/>
        <w:gridCol w:w="813"/>
        <w:gridCol w:w="298"/>
        <w:gridCol w:w="906"/>
      </w:tblGrid>
      <w:tr w:rsidR="00F840AB" w:rsidRPr="00F840AB" w:rsidTr="00652D85">
        <w:trPr>
          <w:trHeight w:val="15"/>
        </w:trPr>
        <w:tc>
          <w:tcPr>
            <w:tcW w:w="826" w:type="dxa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F840AB" w:rsidRPr="00F840AB" w:rsidTr="00652D85"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F840AB" w:rsidRPr="00F840AB" w:rsidTr="00652D85"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 дому</w:t>
            </w:r>
          </w:p>
        </w:tc>
      </w:tr>
      <w:tr w:rsidR="00F840AB" w:rsidRPr="00F840AB" w:rsidTr="00652D85"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койк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о-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(человеко-) день &lt;*&gt;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питанием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согласно утвержденным нормативам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койк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о-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(человеко-) день &lt;*&gt;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158,07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359,57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189,19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317,85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469,78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179,78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300,93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44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025F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1112,07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44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Default="00025F44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Default="00025F44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семиразовое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питание</w:t>
            </w: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Default="00025F44" w:rsidP="00025F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1207,27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5F44" w:rsidRPr="00F840AB" w:rsidRDefault="00025F44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(в ред. </w:t>
            </w:r>
            <w:hyperlink r:id="rId2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койк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о-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(человеко-) день &lt;*&gt;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66,27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койк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о-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(человеко-) день &lt;*&gt;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230,83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139,42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173,35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165,05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85,43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85,43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85,43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12,82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обеспечение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книгами, журналами, газетами, настольными играми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заказ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36,17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25,63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1.7.2.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42,71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2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105,08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53,39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128,13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3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171,33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64,08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3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42,71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74,75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Сдача за счет средств получателя социальных услуг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вещей в стирку, химчистку, ремонт, обратная их доставка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заказ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74,75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64,08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53,39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85,43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96,10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64,08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(в ред. </w:t>
            </w:r>
            <w:hyperlink r:id="rId3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128,13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7,54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31,49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42,71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32,78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105,81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32,03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3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4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раздевание и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одевание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1 услуга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36,78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45,06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(в ред. </w:t>
            </w:r>
            <w:hyperlink r:id="rId4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06.07.2016 N 26/5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4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4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4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1.16.11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введен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hyperlink r:id="rId4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приказом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 в ред. </w:t>
            </w:r>
            <w:hyperlink r:id="rId4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4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62,25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1.16.12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введен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hyperlink r:id="rId4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приказом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 в ред. </w:t>
            </w:r>
            <w:hyperlink r:id="rId4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5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1.16.13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введен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hyperlink r:id="rId5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приказом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 в ред. </w:t>
            </w:r>
            <w:hyperlink r:id="rId5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5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104,12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53,39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5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39,98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62,77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5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5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5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5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5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6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6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6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6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73,23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6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6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6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(введено </w:t>
            </w:r>
            <w:hyperlink r:id="rId6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приказом комитета тарифного регулирования Волгоградской области от 01.11.2017 N 40/1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164,70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156,92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6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219,59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209,23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6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83,69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439,19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418,46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329,39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313,85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(введено </w:t>
            </w:r>
            <w:hyperlink r:id="rId7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приказом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 в ред. </w:t>
            </w:r>
            <w:hyperlink r:id="rId7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17.06.2020 N 18/3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Содействие при оказании медицинской помощи (покупка за счет средств получателя социальных услуг лекарственных средств и изделий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143,86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42,71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142,07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156,57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128,13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150,28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154,42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посещение в случае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госпитализации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67,13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025F4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30,08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42,71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2.1.8.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53,39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225,30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15.12.2016 N 49/1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22,59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82,14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38,90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7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45,75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(в ред. </w:t>
            </w:r>
            <w:hyperlink r:id="rId8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32,03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31,72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54,42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проведение процедуры 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бытовымифизиоприборами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77,82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rPr>
          <w:trHeight w:val="15"/>
        </w:trPr>
        <w:tc>
          <w:tcPr>
            <w:tcW w:w="922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30,07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54,36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16,11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2.2.19.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82,17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98,27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48,39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приемом лекарств и другое)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79,39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56,31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8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2.3.4 в ред. </w:t>
            </w:r>
            <w:hyperlink r:id="rId9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9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50,26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58,58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9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9,88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12,49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приемом лекарств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40,89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19,89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10,68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9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86,98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64,08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69,50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9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145,02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025F4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63,65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9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106,84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дозированная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ходьба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2.</w:t>
            </w:r>
            <w:bookmarkStart w:id="0" w:name="_GoBack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End w:id="0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025F44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380,20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2.4.9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введен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hyperlink r:id="rId9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приказом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42,83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9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126,74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54,47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2.5.5.</w:t>
            </w:r>
          </w:p>
        </w:tc>
        <w:tc>
          <w:tcPr>
            <w:tcW w:w="84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Исключен. - </w:t>
            </w:r>
            <w:hyperlink r:id="rId9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 комитета тарифного регулирования Волгоградской области от 15.12.2016 N 49/1</w:t>
              </w:r>
            </w:hyperlink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2.5.6 - 2.5.8.</w:t>
            </w:r>
          </w:p>
        </w:tc>
        <w:tc>
          <w:tcPr>
            <w:tcW w:w="84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Исключены. - </w:t>
            </w:r>
            <w:hyperlink r:id="rId9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 комитета тарифного регулирования Волгоградской области от 01.11.2017 N 40/1</w:t>
              </w:r>
            </w:hyperlink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(поддержание и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271,89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3. Социально-психологические услуги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134,48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272,31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192,72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025F4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70,04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182,73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21,36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10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Проведение психологической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диагностики и обследования личности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3.4.1.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180,29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349,54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317,11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302,13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327,53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025F44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156,86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243,64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167,77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280,25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93,63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311,16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293,24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Организация помощи родителям или законным представителям детей-инвалидов, воспитываемых дома, в обучении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46,82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104,60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129,26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232,68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145,61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171,45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175,24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181,74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413,27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164,83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231,91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06.07.2016 N 26/5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10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проведение клубной и кружковой работы для формирования и развития интересов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4.4.1.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107,01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163,90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128,13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114,24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217,11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205,66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93,66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197,20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260,27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0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10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56,07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149,66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78,33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116,87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153,17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96,10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183,47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025F4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50,79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128,13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2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113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64,32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172,98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68,32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82,16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4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06.07.2016 N 26/5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189,98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5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116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Содействие в получении полагающихся </w:t>
            </w: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108,20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119,60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(в ред. </w:t>
            </w:r>
            <w:hyperlink r:id="rId117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30,80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24,02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53,39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77,57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47,97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53,40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8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приказа комитета тарифного регулирования Волгоградской области от 28.11.2018 N 40/2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218,48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 ред. </w:t>
            </w:r>
            <w:hyperlink r:id="rId119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приказов комитета тарифного регулирования Волгоградской области от 15.12.2016 N 49/1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 </w:t>
            </w:r>
            <w:hyperlink r:id="rId120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от 20.05.2020 N 15/1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70,22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199,03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237,83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025F44" w:rsidP="00F840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300,61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AB" w:rsidRPr="00F840AB" w:rsidTr="00652D85">
        <w:tc>
          <w:tcPr>
            <w:tcW w:w="9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0AB" w:rsidRPr="00F840AB" w:rsidRDefault="00F840AB" w:rsidP="00F840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spell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7.4.2 </w:t>
            </w:r>
            <w:proofErr w:type="gramStart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введен</w:t>
            </w:r>
            <w:proofErr w:type="gramEnd"/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hyperlink r:id="rId121" w:history="1"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 xml:space="preserve">приказом комитета тарифного регулирования Волгоградской области от </w:t>
              </w:r>
              <w:r w:rsidRPr="00F840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lastRenderedPageBreak/>
                <w:t>24.12.2019 N 45/17</w:t>
              </w:r>
            </w:hyperlink>
            <w:r w:rsidRPr="00F840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</w:tbl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Примечание: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 При социальном обслуживании в стационарной форме - койко-день, в полустационарной форме - человеко-день.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 Одно или несколько действий в течение суток в соответствии со стандартом социальной услуги, установленным органом исполнительной власти Волгоградской области, уполномоченным в сфере социального обслуживания.</w:t>
      </w:r>
    </w:p>
    <w:p w:rsidR="00F840AB" w:rsidRPr="00F840AB" w:rsidRDefault="00F840AB" w:rsidP="00F840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(введено </w:t>
      </w:r>
      <w:hyperlink r:id="rId122" w:history="1">
        <w:r w:rsidRPr="00F840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комитета тарифного регулирования Волгоградской области от 20.05.2020 N 15/1</w:t>
        </w:r>
      </w:hyperlink>
      <w:r w:rsidRPr="00F840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0D4AC6" w:rsidRPr="00F840AB" w:rsidRDefault="000D4AC6">
      <w:pPr>
        <w:rPr>
          <w:rFonts w:ascii="Times New Roman" w:hAnsi="Times New Roman" w:cs="Times New Roman"/>
          <w:sz w:val="24"/>
          <w:szCs w:val="24"/>
        </w:rPr>
      </w:pPr>
    </w:p>
    <w:sectPr w:rsidR="000D4AC6" w:rsidRPr="00F840AB" w:rsidSect="00D8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0AB"/>
    <w:rsid w:val="00025F44"/>
    <w:rsid w:val="000D4AC6"/>
    <w:rsid w:val="00254195"/>
    <w:rsid w:val="00652D85"/>
    <w:rsid w:val="00D83AFB"/>
    <w:rsid w:val="00F8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FB"/>
  </w:style>
  <w:style w:type="paragraph" w:styleId="1">
    <w:name w:val="heading 1"/>
    <w:basedOn w:val="a"/>
    <w:link w:val="10"/>
    <w:uiPriority w:val="9"/>
    <w:qFormat/>
    <w:rsid w:val="00F84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4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40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40A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4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40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40A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6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570788627" TargetMode="External"/><Relationship Id="rId117" Type="http://schemas.openxmlformats.org/officeDocument/2006/relationships/hyperlink" Target="http://docs.cntd.ru/document/570788627" TargetMode="External"/><Relationship Id="rId21" Type="http://schemas.openxmlformats.org/officeDocument/2006/relationships/hyperlink" Target="http://docs.cntd.ru/document/441506366" TargetMode="External"/><Relationship Id="rId42" Type="http://schemas.openxmlformats.org/officeDocument/2006/relationships/hyperlink" Target="http://docs.cntd.ru/document/550262076" TargetMode="External"/><Relationship Id="rId47" Type="http://schemas.openxmlformats.org/officeDocument/2006/relationships/hyperlink" Target="http://docs.cntd.ru/document/570819972" TargetMode="External"/><Relationship Id="rId63" Type="http://schemas.openxmlformats.org/officeDocument/2006/relationships/hyperlink" Target="http://docs.cntd.ru/document/570819972" TargetMode="External"/><Relationship Id="rId68" Type="http://schemas.openxmlformats.org/officeDocument/2006/relationships/hyperlink" Target="http://docs.cntd.ru/document/570819972" TargetMode="External"/><Relationship Id="rId84" Type="http://schemas.openxmlformats.org/officeDocument/2006/relationships/hyperlink" Target="http://docs.cntd.ru/document/550262076" TargetMode="External"/><Relationship Id="rId89" Type="http://schemas.openxmlformats.org/officeDocument/2006/relationships/hyperlink" Target="http://docs.cntd.ru/document/561670642" TargetMode="External"/><Relationship Id="rId112" Type="http://schemas.openxmlformats.org/officeDocument/2006/relationships/hyperlink" Target="http://docs.cntd.ru/document/550262076" TargetMode="External"/><Relationship Id="rId16" Type="http://schemas.openxmlformats.org/officeDocument/2006/relationships/hyperlink" Target="http://docs.cntd.ru/document/424037266" TargetMode="External"/><Relationship Id="rId107" Type="http://schemas.openxmlformats.org/officeDocument/2006/relationships/hyperlink" Target="http://docs.cntd.ru/document/550262076" TargetMode="External"/><Relationship Id="rId11" Type="http://schemas.openxmlformats.org/officeDocument/2006/relationships/hyperlink" Target="http://docs.cntd.ru/document/570819972" TargetMode="External"/><Relationship Id="rId32" Type="http://schemas.openxmlformats.org/officeDocument/2006/relationships/hyperlink" Target="http://docs.cntd.ru/document/570788627" TargetMode="External"/><Relationship Id="rId37" Type="http://schemas.openxmlformats.org/officeDocument/2006/relationships/hyperlink" Target="http://docs.cntd.ru/document/570788627" TargetMode="External"/><Relationship Id="rId53" Type="http://schemas.openxmlformats.org/officeDocument/2006/relationships/hyperlink" Target="http://docs.cntd.ru/document/570819972" TargetMode="External"/><Relationship Id="rId58" Type="http://schemas.openxmlformats.org/officeDocument/2006/relationships/hyperlink" Target="http://docs.cntd.ru/document/550262076" TargetMode="External"/><Relationship Id="rId74" Type="http://schemas.openxmlformats.org/officeDocument/2006/relationships/hyperlink" Target="http://docs.cntd.ru/document/570819972" TargetMode="External"/><Relationship Id="rId79" Type="http://schemas.openxmlformats.org/officeDocument/2006/relationships/hyperlink" Target="http://docs.cntd.ru/document/550262076" TargetMode="External"/><Relationship Id="rId102" Type="http://schemas.openxmlformats.org/officeDocument/2006/relationships/hyperlink" Target="http://docs.cntd.ru/document/570788627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ocs.cntd.ru/document/441506366" TargetMode="External"/><Relationship Id="rId61" Type="http://schemas.openxmlformats.org/officeDocument/2006/relationships/hyperlink" Target="http://docs.cntd.ru/document/550262076" TargetMode="External"/><Relationship Id="rId82" Type="http://schemas.openxmlformats.org/officeDocument/2006/relationships/hyperlink" Target="http://docs.cntd.ru/document/550262076" TargetMode="External"/><Relationship Id="rId90" Type="http://schemas.openxmlformats.org/officeDocument/2006/relationships/hyperlink" Target="http://docs.cntd.ru/document/561670642" TargetMode="External"/><Relationship Id="rId95" Type="http://schemas.openxmlformats.org/officeDocument/2006/relationships/hyperlink" Target="http://docs.cntd.ru/document/550262076" TargetMode="External"/><Relationship Id="rId19" Type="http://schemas.openxmlformats.org/officeDocument/2006/relationships/hyperlink" Target="http://docs.cntd.ru/document/432813032" TargetMode="External"/><Relationship Id="rId14" Type="http://schemas.openxmlformats.org/officeDocument/2006/relationships/hyperlink" Target="http://docs.cntd.ru/document/420237448" TargetMode="External"/><Relationship Id="rId22" Type="http://schemas.openxmlformats.org/officeDocument/2006/relationships/hyperlink" Target="http://docs.cntd.ru/document/444890811" TargetMode="External"/><Relationship Id="rId27" Type="http://schemas.openxmlformats.org/officeDocument/2006/relationships/hyperlink" Target="http://docs.cntd.ru/document/570819972" TargetMode="External"/><Relationship Id="rId30" Type="http://schemas.openxmlformats.org/officeDocument/2006/relationships/hyperlink" Target="http://docs.cntd.ru/document/570788627" TargetMode="External"/><Relationship Id="rId35" Type="http://schemas.openxmlformats.org/officeDocument/2006/relationships/hyperlink" Target="http://docs.cntd.ru/document/570788627" TargetMode="External"/><Relationship Id="rId43" Type="http://schemas.openxmlformats.org/officeDocument/2006/relationships/hyperlink" Target="http://docs.cntd.ru/document/561670642" TargetMode="External"/><Relationship Id="rId48" Type="http://schemas.openxmlformats.org/officeDocument/2006/relationships/hyperlink" Target="http://docs.cntd.ru/document/561670642" TargetMode="External"/><Relationship Id="rId56" Type="http://schemas.openxmlformats.org/officeDocument/2006/relationships/hyperlink" Target="http://docs.cntd.ru/document/570788627" TargetMode="External"/><Relationship Id="rId64" Type="http://schemas.openxmlformats.org/officeDocument/2006/relationships/hyperlink" Target="http://docs.cntd.ru/document/550262076" TargetMode="External"/><Relationship Id="rId69" Type="http://schemas.openxmlformats.org/officeDocument/2006/relationships/hyperlink" Target="http://docs.cntd.ru/document/570819972" TargetMode="External"/><Relationship Id="rId77" Type="http://schemas.openxmlformats.org/officeDocument/2006/relationships/hyperlink" Target="http://docs.cntd.ru/document/444890811" TargetMode="External"/><Relationship Id="rId100" Type="http://schemas.openxmlformats.org/officeDocument/2006/relationships/hyperlink" Target="http://docs.cntd.ru/document/550262076" TargetMode="External"/><Relationship Id="rId105" Type="http://schemas.openxmlformats.org/officeDocument/2006/relationships/hyperlink" Target="http://docs.cntd.ru/document/550262076" TargetMode="External"/><Relationship Id="rId113" Type="http://schemas.openxmlformats.org/officeDocument/2006/relationships/hyperlink" Target="http://docs.cntd.ru/document/570788627" TargetMode="External"/><Relationship Id="rId118" Type="http://schemas.openxmlformats.org/officeDocument/2006/relationships/hyperlink" Target="http://docs.cntd.ru/document/550262076" TargetMode="External"/><Relationship Id="rId8" Type="http://schemas.openxmlformats.org/officeDocument/2006/relationships/hyperlink" Target="http://docs.cntd.ru/document/550262076" TargetMode="External"/><Relationship Id="rId51" Type="http://schemas.openxmlformats.org/officeDocument/2006/relationships/hyperlink" Target="http://docs.cntd.ru/document/561670642" TargetMode="External"/><Relationship Id="rId72" Type="http://schemas.openxmlformats.org/officeDocument/2006/relationships/hyperlink" Target="http://docs.cntd.ru/document/570819972" TargetMode="External"/><Relationship Id="rId80" Type="http://schemas.openxmlformats.org/officeDocument/2006/relationships/hyperlink" Target="http://docs.cntd.ru/document/550262076" TargetMode="External"/><Relationship Id="rId85" Type="http://schemas.openxmlformats.org/officeDocument/2006/relationships/hyperlink" Target="http://docs.cntd.ru/document/550262076" TargetMode="External"/><Relationship Id="rId93" Type="http://schemas.openxmlformats.org/officeDocument/2006/relationships/hyperlink" Target="http://docs.cntd.ru/document/570788627" TargetMode="External"/><Relationship Id="rId98" Type="http://schemas.openxmlformats.org/officeDocument/2006/relationships/hyperlink" Target="http://docs.cntd.ru/document/444890811" TargetMode="External"/><Relationship Id="rId121" Type="http://schemas.openxmlformats.org/officeDocument/2006/relationships/hyperlink" Target="http://docs.cntd.ru/document/5616706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67367" TargetMode="External"/><Relationship Id="rId17" Type="http://schemas.openxmlformats.org/officeDocument/2006/relationships/hyperlink" Target="http://docs.cntd.ru/document/460276650" TargetMode="External"/><Relationship Id="rId25" Type="http://schemas.openxmlformats.org/officeDocument/2006/relationships/hyperlink" Target="http://docs.cntd.ru/document/561670642" TargetMode="External"/><Relationship Id="rId33" Type="http://schemas.openxmlformats.org/officeDocument/2006/relationships/hyperlink" Target="http://docs.cntd.ru/document/570819972" TargetMode="External"/><Relationship Id="rId38" Type="http://schemas.openxmlformats.org/officeDocument/2006/relationships/hyperlink" Target="http://docs.cntd.ru/document/570788627" TargetMode="External"/><Relationship Id="rId46" Type="http://schemas.openxmlformats.org/officeDocument/2006/relationships/hyperlink" Target="http://docs.cntd.ru/document/570788627" TargetMode="External"/><Relationship Id="rId59" Type="http://schemas.openxmlformats.org/officeDocument/2006/relationships/hyperlink" Target="http://docs.cntd.ru/document/570788627" TargetMode="External"/><Relationship Id="rId67" Type="http://schemas.openxmlformats.org/officeDocument/2006/relationships/hyperlink" Target="http://docs.cntd.ru/document/450366146" TargetMode="External"/><Relationship Id="rId103" Type="http://schemas.openxmlformats.org/officeDocument/2006/relationships/hyperlink" Target="http://docs.cntd.ru/document/561670642" TargetMode="External"/><Relationship Id="rId108" Type="http://schemas.openxmlformats.org/officeDocument/2006/relationships/hyperlink" Target="http://docs.cntd.ru/document/550262076" TargetMode="External"/><Relationship Id="rId116" Type="http://schemas.openxmlformats.org/officeDocument/2006/relationships/hyperlink" Target="http://docs.cntd.ru/document/570788627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docs.cntd.ru/document/460281883" TargetMode="External"/><Relationship Id="rId41" Type="http://schemas.openxmlformats.org/officeDocument/2006/relationships/hyperlink" Target="http://docs.cntd.ru/document/441506366" TargetMode="External"/><Relationship Id="rId54" Type="http://schemas.openxmlformats.org/officeDocument/2006/relationships/hyperlink" Target="http://docs.cntd.ru/document/570788627" TargetMode="External"/><Relationship Id="rId62" Type="http://schemas.openxmlformats.org/officeDocument/2006/relationships/hyperlink" Target="http://docs.cntd.ru/document/570788627" TargetMode="External"/><Relationship Id="rId70" Type="http://schemas.openxmlformats.org/officeDocument/2006/relationships/hyperlink" Target="http://docs.cntd.ru/document/570819972" TargetMode="External"/><Relationship Id="rId75" Type="http://schemas.openxmlformats.org/officeDocument/2006/relationships/hyperlink" Target="http://docs.cntd.ru/document/570788627" TargetMode="External"/><Relationship Id="rId83" Type="http://schemas.openxmlformats.org/officeDocument/2006/relationships/hyperlink" Target="http://docs.cntd.ru/document/550262076" TargetMode="External"/><Relationship Id="rId88" Type="http://schemas.openxmlformats.org/officeDocument/2006/relationships/hyperlink" Target="http://docs.cntd.ru/document/550262076" TargetMode="External"/><Relationship Id="rId91" Type="http://schemas.openxmlformats.org/officeDocument/2006/relationships/hyperlink" Target="http://docs.cntd.ru/document/561670642" TargetMode="External"/><Relationship Id="rId96" Type="http://schemas.openxmlformats.org/officeDocument/2006/relationships/hyperlink" Target="http://docs.cntd.ru/document/561670642" TargetMode="External"/><Relationship Id="rId111" Type="http://schemas.openxmlformats.org/officeDocument/2006/relationships/hyperlink" Target="http://docs.cntd.ru/document/56167064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44890811" TargetMode="External"/><Relationship Id="rId15" Type="http://schemas.openxmlformats.org/officeDocument/2006/relationships/hyperlink" Target="http://docs.cntd.ru/document/423846246" TargetMode="External"/><Relationship Id="rId23" Type="http://schemas.openxmlformats.org/officeDocument/2006/relationships/hyperlink" Target="http://docs.cntd.ru/document/450366146" TargetMode="External"/><Relationship Id="rId28" Type="http://schemas.openxmlformats.org/officeDocument/2006/relationships/hyperlink" Target="http://docs.cntd.ru/document/561670642" TargetMode="External"/><Relationship Id="rId36" Type="http://schemas.openxmlformats.org/officeDocument/2006/relationships/hyperlink" Target="http://docs.cntd.ru/document/570788627" TargetMode="External"/><Relationship Id="rId49" Type="http://schemas.openxmlformats.org/officeDocument/2006/relationships/hyperlink" Target="http://docs.cntd.ru/document/570788627" TargetMode="External"/><Relationship Id="rId57" Type="http://schemas.openxmlformats.org/officeDocument/2006/relationships/hyperlink" Target="http://docs.cntd.ru/document/570819972" TargetMode="External"/><Relationship Id="rId106" Type="http://schemas.openxmlformats.org/officeDocument/2006/relationships/hyperlink" Target="http://docs.cntd.ru/document/441506366" TargetMode="External"/><Relationship Id="rId114" Type="http://schemas.openxmlformats.org/officeDocument/2006/relationships/hyperlink" Target="http://docs.cntd.ru/document/441506366" TargetMode="External"/><Relationship Id="rId119" Type="http://schemas.openxmlformats.org/officeDocument/2006/relationships/hyperlink" Target="http://docs.cntd.ru/document/444890811" TargetMode="External"/><Relationship Id="rId10" Type="http://schemas.openxmlformats.org/officeDocument/2006/relationships/hyperlink" Target="http://docs.cntd.ru/document/570788627" TargetMode="External"/><Relationship Id="rId31" Type="http://schemas.openxmlformats.org/officeDocument/2006/relationships/hyperlink" Target="http://docs.cntd.ru/document/570819972" TargetMode="External"/><Relationship Id="rId44" Type="http://schemas.openxmlformats.org/officeDocument/2006/relationships/hyperlink" Target="http://docs.cntd.ru/document/570788627" TargetMode="External"/><Relationship Id="rId52" Type="http://schemas.openxmlformats.org/officeDocument/2006/relationships/hyperlink" Target="http://docs.cntd.ru/document/570788627" TargetMode="External"/><Relationship Id="rId60" Type="http://schemas.openxmlformats.org/officeDocument/2006/relationships/hyperlink" Target="http://docs.cntd.ru/document/570819972" TargetMode="External"/><Relationship Id="rId65" Type="http://schemas.openxmlformats.org/officeDocument/2006/relationships/hyperlink" Target="http://docs.cntd.ru/document/570788627" TargetMode="External"/><Relationship Id="rId73" Type="http://schemas.openxmlformats.org/officeDocument/2006/relationships/hyperlink" Target="http://docs.cntd.ru/document/570788627" TargetMode="External"/><Relationship Id="rId78" Type="http://schemas.openxmlformats.org/officeDocument/2006/relationships/hyperlink" Target="http://docs.cntd.ru/document/550262076" TargetMode="External"/><Relationship Id="rId81" Type="http://schemas.openxmlformats.org/officeDocument/2006/relationships/hyperlink" Target="http://docs.cntd.ru/document/550262076" TargetMode="External"/><Relationship Id="rId86" Type="http://schemas.openxmlformats.org/officeDocument/2006/relationships/hyperlink" Target="http://docs.cntd.ru/document/550262076" TargetMode="External"/><Relationship Id="rId94" Type="http://schemas.openxmlformats.org/officeDocument/2006/relationships/hyperlink" Target="http://docs.cntd.ru/document/550262076" TargetMode="External"/><Relationship Id="rId99" Type="http://schemas.openxmlformats.org/officeDocument/2006/relationships/hyperlink" Target="http://docs.cntd.ru/document/450366146" TargetMode="External"/><Relationship Id="rId101" Type="http://schemas.openxmlformats.org/officeDocument/2006/relationships/hyperlink" Target="http://docs.cntd.ru/document/570788627" TargetMode="External"/><Relationship Id="rId122" Type="http://schemas.openxmlformats.org/officeDocument/2006/relationships/hyperlink" Target="http://docs.cntd.ru/document/570788627" TargetMode="External"/><Relationship Id="rId4" Type="http://schemas.openxmlformats.org/officeDocument/2006/relationships/hyperlink" Target="http://docs.cntd.ru/document/432813032" TargetMode="External"/><Relationship Id="rId9" Type="http://schemas.openxmlformats.org/officeDocument/2006/relationships/hyperlink" Target="http://docs.cntd.ru/document/561670642" TargetMode="External"/><Relationship Id="rId13" Type="http://schemas.openxmlformats.org/officeDocument/2006/relationships/hyperlink" Target="http://docs.cntd.ru/document/9027275" TargetMode="External"/><Relationship Id="rId18" Type="http://schemas.openxmlformats.org/officeDocument/2006/relationships/hyperlink" Target="http://docs.cntd.ru/document/460276650" TargetMode="External"/><Relationship Id="rId39" Type="http://schemas.openxmlformats.org/officeDocument/2006/relationships/hyperlink" Target="http://docs.cntd.ru/document/561670642" TargetMode="External"/><Relationship Id="rId109" Type="http://schemas.openxmlformats.org/officeDocument/2006/relationships/hyperlink" Target="http://docs.cntd.ru/document/570788627" TargetMode="External"/><Relationship Id="rId34" Type="http://schemas.openxmlformats.org/officeDocument/2006/relationships/hyperlink" Target="http://docs.cntd.ru/document/570788627" TargetMode="External"/><Relationship Id="rId50" Type="http://schemas.openxmlformats.org/officeDocument/2006/relationships/hyperlink" Target="http://docs.cntd.ru/document/570819972" TargetMode="External"/><Relationship Id="rId55" Type="http://schemas.openxmlformats.org/officeDocument/2006/relationships/hyperlink" Target="http://docs.cntd.ru/document/550262076" TargetMode="External"/><Relationship Id="rId76" Type="http://schemas.openxmlformats.org/officeDocument/2006/relationships/hyperlink" Target="http://docs.cntd.ru/document/550262076" TargetMode="External"/><Relationship Id="rId97" Type="http://schemas.openxmlformats.org/officeDocument/2006/relationships/hyperlink" Target="http://docs.cntd.ru/document/550262076" TargetMode="External"/><Relationship Id="rId104" Type="http://schemas.openxmlformats.org/officeDocument/2006/relationships/hyperlink" Target="http://docs.cntd.ru/document/550262076" TargetMode="External"/><Relationship Id="rId120" Type="http://schemas.openxmlformats.org/officeDocument/2006/relationships/hyperlink" Target="http://docs.cntd.ru/document/570788627" TargetMode="External"/><Relationship Id="rId125" Type="http://schemas.microsoft.com/office/2007/relationships/stylesWithEffects" Target="stylesWithEffects.xml"/><Relationship Id="rId7" Type="http://schemas.openxmlformats.org/officeDocument/2006/relationships/hyperlink" Target="http://docs.cntd.ru/document/450366146" TargetMode="External"/><Relationship Id="rId71" Type="http://schemas.openxmlformats.org/officeDocument/2006/relationships/hyperlink" Target="http://docs.cntd.ru/document/570819972" TargetMode="External"/><Relationship Id="rId92" Type="http://schemas.openxmlformats.org/officeDocument/2006/relationships/hyperlink" Target="http://docs.cntd.ru/document/5502620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570788627" TargetMode="External"/><Relationship Id="rId24" Type="http://schemas.openxmlformats.org/officeDocument/2006/relationships/hyperlink" Target="http://docs.cntd.ru/document/550262076" TargetMode="External"/><Relationship Id="rId40" Type="http://schemas.openxmlformats.org/officeDocument/2006/relationships/hyperlink" Target="http://docs.cntd.ru/document/570819972" TargetMode="External"/><Relationship Id="rId45" Type="http://schemas.openxmlformats.org/officeDocument/2006/relationships/hyperlink" Target="http://docs.cntd.ru/document/561670642" TargetMode="External"/><Relationship Id="rId66" Type="http://schemas.openxmlformats.org/officeDocument/2006/relationships/hyperlink" Target="http://docs.cntd.ru/document/570819972" TargetMode="External"/><Relationship Id="rId87" Type="http://schemas.openxmlformats.org/officeDocument/2006/relationships/hyperlink" Target="http://docs.cntd.ru/document/550262076" TargetMode="External"/><Relationship Id="rId110" Type="http://schemas.openxmlformats.org/officeDocument/2006/relationships/hyperlink" Target="http://docs.cntd.ru/document/550262076" TargetMode="External"/><Relationship Id="rId115" Type="http://schemas.openxmlformats.org/officeDocument/2006/relationships/hyperlink" Target="http://docs.cntd.ru/document/550262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5085</Words>
  <Characters>26956</Characters>
  <Application>Microsoft Office Word</Application>
  <DocSecurity>0</DocSecurity>
  <Lines>2995</Lines>
  <Paragraphs>1335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www.PHILka.RU</cp:lastModifiedBy>
  <cp:revision>4</cp:revision>
  <dcterms:created xsi:type="dcterms:W3CDTF">2020-12-11T12:43:00Z</dcterms:created>
  <dcterms:modified xsi:type="dcterms:W3CDTF">2020-12-11T14:04:00Z</dcterms:modified>
</cp:coreProperties>
</file>