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jc w:val="both"/>
        <w:rPr>
          <w:b w:val="false"/>
          <w:b w:val="false"/>
          <w:bCs w:val="false"/>
        </w:rPr>
      </w:pPr>
      <w:r>
        <w:rPr>
          <w:rFonts w:cs="Times New Roman" w:ascii="Times New Roman" w:hAnsi="Times New Roman"/>
          <w:b w:val="false"/>
          <w:bCs w:val="false"/>
          <w:i w:val="false"/>
          <w:iCs w:val="false"/>
          <w:sz w:val="26"/>
          <w:szCs w:val="26"/>
        </w:rPr>
        <w:tab/>
        <w:t xml:space="preserve">Отделение надзорной деятельности и профилактической работы по Рамешковскому и Максатихинскому районам Тверской области напоминает, что наступление холодов напрямую связано с активным использованием населением обогревательных приборов. </w:t>
      </w:r>
      <w:r>
        <w:rPr>
          <w:rFonts w:cs="Times New Roman" w:ascii="Times New Roman" w:hAnsi="Times New Roman"/>
          <w:b/>
          <w:bCs/>
          <w:i w:val="false"/>
          <w:iCs w:val="false"/>
          <w:sz w:val="26"/>
          <w:szCs w:val="26"/>
        </w:rPr>
        <w:t>Несоблюдение жителями правил пожар</w:t>
      </w:r>
      <w:r>
        <w:rPr>
          <w:rFonts w:cs="Times New Roman" w:ascii="Times New Roman" w:hAnsi="Times New Roman"/>
          <w:b/>
          <w:bCs/>
          <w:sz w:val="26"/>
          <w:szCs w:val="26"/>
        </w:rPr>
        <w:t>ной безопасности при эксплуатации печного отопления и электроприборов приводит к пожарам.</w:t>
      </w:r>
    </w:p>
    <w:p>
      <w:pPr>
        <w:pStyle w:val="Normal"/>
        <w:spacing w:lineRule="auto" w:line="240" w:before="0" w:after="0"/>
        <w:ind w:firstLine="708"/>
        <w:jc w:val="both"/>
        <w:rPr>
          <w:sz w:val="26"/>
          <w:szCs w:val="26"/>
        </w:rPr>
      </w:pPr>
      <w:r>
        <w:rPr>
          <w:rFonts w:cs="Times New Roman" w:ascii="Times New Roman" w:hAnsi="Times New Roman"/>
          <w:b/>
          <w:bCs/>
          <w:sz w:val="26"/>
          <w:szCs w:val="26"/>
        </w:rPr>
        <w:t xml:space="preserve">Предупредить пожар легче, чем тушить. Обезопасить свой дом от пожара, значит не лишиться имущества, не подвергнуть риску собственную жизнь и здоровье близких, </w:t>
      </w:r>
      <w:r>
        <w:rPr>
          <w:rFonts w:cs="Times New Roman" w:ascii="Times New Roman" w:hAnsi="Times New Roman"/>
          <w:b/>
          <w:bCs/>
          <w:sz w:val="26"/>
          <w:szCs w:val="26"/>
        </w:rPr>
        <w:t>а также соседей, ведь при пожаре в многоквартирном доме могут пострадать и другие семьи, в том числе и дети, которые из-за чьей-то лени и непредусмотрительности могут остаться без жилья и имущества.</w:t>
      </w:r>
      <w:r>
        <w:rPr>
          <w:rFonts w:cs="Times New Roman" w:ascii="Times New Roman" w:hAnsi="Times New Roman"/>
          <w:b/>
          <w:bCs/>
          <w:sz w:val="26"/>
          <w:szCs w:val="26"/>
        </w:rPr>
        <w:t xml:space="preserve"> </w:t>
      </w:r>
      <w:r>
        <w:rPr>
          <w:rFonts w:cs="Times New Roman" w:ascii="Times New Roman" w:hAnsi="Times New Roman"/>
          <w:b/>
          <w:bCs/>
          <w:sz w:val="26"/>
          <w:szCs w:val="26"/>
        </w:rPr>
        <w:t>До наступления похолодания п</w:t>
      </w:r>
      <w:r>
        <w:rPr>
          <w:rFonts w:cs="Times New Roman" w:ascii="Times New Roman" w:hAnsi="Times New Roman"/>
          <w:b/>
          <w:bCs/>
          <w:sz w:val="26"/>
          <w:szCs w:val="26"/>
        </w:rPr>
        <w:t>роверьте сами себя</w:t>
      </w:r>
      <w:r>
        <w:rPr>
          <w:rFonts w:cs="Times New Roman" w:ascii="Times New Roman" w:hAnsi="Times New Roman"/>
          <w:sz w:val="26"/>
          <w:szCs w:val="26"/>
        </w:rPr>
        <w:t xml:space="preserve">, осмотрите свое жилище: все ли соответствует правилам пожарной безопасности? Все ли вы предусмотрели, чтобы не допустить возникновение пожара? </w:t>
      </w:r>
      <w:r>
        <w:rPr>
          <w:rFonts w:cs="Times New Roman" w:ascii="Times New Roman" w:hAnsi="Times New Roman"/>
          <w:sz w:val="26"/>
          <w:szCs w:val="26"/>
        </w:rPr>
        <w:t>Нет ли неисправных отопительных приборов, оголенных проводов, неисправной бытовой техники в вашем доме?</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b/>
          <w:color w:val="auto"/>
          <w:kern w:val="0"/>
          <w:sz w:val="26"/>
          <w:szCs w:val="26"/>
          <w:lang w:val="ru-RU" w:eastAsia="en-US" w:bidi="ar-SA"/>
        </w:rPr>
        <w:t>Во избежание пожаров в результате нарушения правил пожарной безопасности при эксплуатации электрооборудования и печного отопления следует соблюдать следующие правила:</w:t>
      </w:r>
    </w:p>
    <w:p>
      <w:pPr>
        <w:pStyle w:val="Normal"/>
        <w:spacing w:lineRule="auto" w:line="240" w:before="0" w:after="0"/>
        <w:ind w:firstLine="708"/>
        <w:jc w:val="both"/>
        <w:rPr>
          <w:b/>
          <w:b/>
          <w:bCs/>
        </w:rPr>
      </w:pPr>
      <w:r>
        <w:rPr>
          <w:rFonts w:eastAsia="Calibri" w:cs="Times New Roman" w:ascii="Times New Roman" w:hAnsi="Times New Roman" w:eastAsiaTheme="minorHAnsi"/>
          <w:b/>
          <w:bCs/>
          <w:color w:val="auto"/>
          <w:kern w:val="0"/>
          <w:sz w:val="26"/>
          <w:szCs w:val="26"/>
          <w:u w:val="single"/>
          <w:lang w:val="ru-RU" w:eastAsia="en-US" w:bidi="ar-SA"/>
        </w:rPr>
        <w:t>При эксплуатации печного отопления запрещается:</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 оставлять без присмотра печи, которые топятся, а также поручать надзор за ними детям;</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 располагать топливо, другие горючие вещества и материалы на предтопочном листе;</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 применять для розжига печей бензин, керосин, дизельное топливо и другие легковоспламеняющиеся и горючие жидкости;</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 топить углем, коксом и газом печи, не предназначенные для этих видов топлива;</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 производить топку печей во время проведения в помещениях собраний и других массовых мероприятий;</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 использовать вентиляционные и газовые каналы в качестве дымоходов;</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 перекаливать печи.</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Зола и шлак, выгребаемые из топок, должны быть залиты водой и удалены в специально отведенное для них место.</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b/>
          <w:bCs/>
          <w:color w:val="auto"/>
          <w:kern w:val="0"/>
          <w:sz w:val="26"/>
          <w:szCs w:val="26"/>
          <w:lang w:val="ru-RU" w:eastAsia="en-US" w:bidi="ar-SA"/>
        </w:rPr>
        <w:t>Запрещается</w:t>
      </w:r>
      <w:r>
        <w:rPr>
          <w:rFonts w:eastAsia="Calibri" w:cs="Times New Roman" w:ascii="Times New Roman" w:hAnsi="Times New Roman" w:eastAsiaTheme="minorHAnsi"/>
          <w:color w:val="auto"/>
          <w:kern w:val="0"/>
          <w:sz w:val="26"/>
          <w:szCs w:val="26"/>
          <w:lang w:val="ru-RU" w:eastAsia="en-US" w:bidi="ar-SA"/>
        </w:rPr>
        <w:t xml:space="preserve">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Неисправные печи и другие отопительные приборы к эксплуатации не допускаются.</w:t>
      </w:r>
    </w:p>
    <w:p>
      <w:pPr>
        <w:pStyle w:val="Normal"/>
        <w:spacing w:lineRule="auto" w:line="240" w:before="0" w:after="0"/>
        <w:ind w:firstLine="708"/>
        <w:jc w:val="both"/>
        <w:rPr>
          <w:b/>
          <w:b/>
          <w:bCs/>
        </w:rPr>
      </w:pPr>
      <w:r>
        <w:rPr>
          <w:rFonts w:eastAsia="Calibri" w:cs="Times New Roman" w:ascii="Times New Roman" w:hAnsi="Times New Roman" w:eastAsiaTheme="minorHAnsi"/>
          <w:b/>
          <w:bCs/>
          <w:color w:val="auto"/>
          <w:kern w:val="0"/>
          <w:sz w:val="26"/>
          <w:szCs w:val="26"/>
          <w:u w:val="single"/>
          <w:lang w:val="ru-RU" w:eastAsia="en-US" w:bidi="ar-SA"/>
        </w:rPr>
        <w:t>При эксплуатации электрооборудования запрещается:</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 эксплуатация электроприборов с нарушениями требований указанных в инструкции по применению приборов;</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-оставлять без присмотра включенными в электрическую сеть электронагревательные приборы и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 использовать самодельные и неисправные бытовые и обогревательные приборы, а также перегружать электрическую сеть включением одновременно большого количества электроприборов.</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Основной причиной пожаров, на которых погибают люди, является неосторожное обращение с огнем, ввиду этого будьте осторожны при использовании открытого огня при курении (особенно в состоянии алкогольного опьянения).</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Не оставляйте без присмотра детей, престарелых и больных граждан. Будьте бдительны, берегите себя и своих близких.</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Напоминаем, что за нарушение вышеуказанных требований предусмотрена административная ответственности в соответствии со статьей 20.4 Кодекса об административных правонарушениях:</w:t>
      </w:r>
    </w:p>
    <w:p>
      <w:pPr>
        <w:pStyle w:val="ListParagraph"/>
        <w:numPr>
          <w:ilvl w:val="0"/>
          <w:numId w:val="1"/>
        </w:numPr>
        <w:jc w:val="both"/>
        <w:rPr>
          <w:rFonts w:ascii="Times New Roman" w:hAnsi="Times New Roman" w:eastAsia="Calibri" w:cs="Times New Roman" w:eastAsiaTheme="minorHAnsi"/>
          <w:b/>
          <w:b/>
          <w:bCs/>
          <w:color w:val="auto"/>
          <w:kern w:val="0"/>
          <w:sz w:val="26"/>
          <w:szCs w:val="26"/>
          <w:lang w:val="ru-RU" w:eastAsia="en-US" w:bidi="ar-SA"/>
        </w:rPr>
      </w:pPr>
      <w:r>
        <w:rPr>
          <w:rFonts w:eastAsia="Calibri" w:cs="Times New Roman" w:ascii="Times New Roman" w:hAnsi="Times New Roman" w:eastAsiaTheme="minorHAnsi"/>
          <w:b/>
          <w:bCs/>
          <w:color w:val="auto"/>
          <w:kern w:val="0"/>
          <w:sz w:val="26"/>
          <w:szCs w:val="26"/>
          <w:lang w:val="ru-RU" w:eastAsia="en-US" w:bidi="ar-SA"/>
        </w:rPr>
        <w:t>Граждане в размере от 5 000 до 15 000 рублей;</w:t>
      </w:r>
    </w:p>
    <w:p>
      <w:pPr>
        <w:pStyle w:val="ListParagraph"/>
        <w:numPr>
          <w:ilvl w:val="0"/>
          <w:numId w:val="1"/>
        </w:numPr>
        <w:jc w:val="both"/>
        <w:rPr>
          <w:rFonts w:ascii="Times New Roman" w:hAnsi="Times New Roman" w:eastAsia="Calibri" w:cs="Times New Roman" w:eastAsiaTheme="minorHAnsi"/>
          <w:b/>
          <w:b/>
          <w:bCs/>
          <w:color w:val="auto"/>
          <w:kern w:val="0"/>
          <w:sz w:val="26"/>
          <w:szCs w:val="26"/>
          <w:lang w:val="ru-RU" w:eastAsia="en-US" w:bidi="ar-SA"/>
        </w:rPr>
      </w:pPr>
      <w:r>
        <w:rPr>
          <w:rFonts w:eastAsia="Calibri" w:cs="Times New Roman" w:ascii="Times New Roman" w:hAnsi="Times New Roman" w:eastAsiaTheme="minorHAnsi"/>
          <w:b/>
          <w:bCs/>
          <w:color w:val="auto"/>
          <w:kern w:val="0"/>
          <w:sz w:val="26"/>
          <w:szCs w:val="26"/>
          <w:lang w:val="ru-RU" w:eastAsia="en-US" w:bidi="ar-SA"/>
        </w:rPr>
        <w:t>Должностные лица – от 20 000 до 30 000 рублей;</w:t>
      </w:r>
    </w:p>
    <w:p>
      <w:pPr>
        <w:pStyle w:val="ListParagraph"/>
        <w:numPr>
          <w:ilvl w:val="0"/>
          <w:numId w:val="1"/>
        </w:numPr>
        <w:jc w:val="both"/>
        <w:rPr>
          <w:rFonts w:ascii="Times New Roman" w:hAnsi="Times New Roman" w:eastAsia="Calibri" w:cs="Times New Roman" w:eastAsiaTheme="minorHAnsi"/>
          <w:b/>
          <w:b/>
          <w:bCs/>
          <w:color w:val="auto"/>
          <w:kern w:val="0"/>
          <w:sz w:val="26"/>
          <w:szCs w:val="26"/>
          <w:lang w:val="ru-RU" w:eastAsia="en-US" w:bidi="ar-SA"/>
        </w:rPr>
      </w:pPr>
      <w:r>
        <w:rPr>
          <w:rFonts w:eastAsia="Calibri" w:cs="Times New Roman" w:ascii="Times New Roman" w:hAnsi="Times New Roman" w:eastAsiaTheme="minorHAnsi"/>
          <w:b/>
          <w:bCs/>
          <w:color w:val="auto"/>
          <w:kern w:val="0"/>
          <w:sz w:val="26"/>
          <w:szCs w:val="26"/>
          <w:lang w:val="ru-RU" w:eastAsia="en-US" w:bidi="ar-SA"/>
        </w:rPr>
        <w:t>Индивидуальным предпринимателям - от 40 000 до 60 000 рублей;</w:t>
      </w:r>
    </w:p>
    <w:p>
      <w:pPr>
        <w:pStyle w:val="ListParagraph"/>
        <w:numPr>
          <w:ilvl w:val="0"/>
          <w:numId w:val="1"/>
        </w:numPr>
        <w:jc w:val="both"/>
        <w:rPr>
          <w:rFonts w:ascii="Times New Roman" w:hAnsi="Times New Roman" w:eastAsia="Calibri" w:cs="Times New Roman" w:eastAsiaTheme="minorHAnsi"/>
          <w:b/>
          <w:b/>
          <w:bCs/>
          <w:color w:val="auto"/>
          <w:kern w:val="0"/>
          <w:sz w:val="26"/>
          <w:szCs w:val="26"/>
          <w:lang w:val="ru-RU" w:eastAsia="en-US" w:bidi="ar-SA"/>
        </w:rPr>
      </w:pPr>
      <w:r>
        <w:rPr>
          <w:rFonts w:eastAsia="Calibri" w:cs="Times New Roman" w:ascii="Times New Roman" w:hAnsi="Times New Roman" w:eastAsiaTheme="minorHAnsi"/>
          <w:b/>
          <w:bCs/>
          <w:color w:val="auto"/>
          <w:kern w:val="0"/>
          <w:sz w:val="26"/>
          <w:szCs w:val="26"/>
          <w:lang w:val="ru-RU" w:eastAsia="en-US" w:bidi="ar-SA"/>
        </w:rPr>
        <w:t>Юридические лица –  от 300 000 до 400 000 рублей.</w:t>
      </w:r>
    </w:p>
    <w:p>
      <w:pPr>
        <w:pStyle w:val="ListParagraph"/>
        <w:numPr>
          <w:ilvl w:val="0"/>
          <w:numId w:val="0"/>
        </w:numPr>
        <w:ind w:left="0" w:hanging="0"/>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В случае, если нарушение требований пожарной безопасности повлекут возникновение пожара и уничтожение или повреждение чужого имущества, либо причинение легкого или средней тяжести вреда здоровью человека предусмотрены следующие наказания в соответствии со статьей 20.4 Кодекса об административных правонарушениях:</w:t>
      </w:r>
    </w:p>
    <w:p>
      <w:pPr>
        <w:pStyle w:val="ListParagraph"/>
        <w:widowControl/>
        <w:suppressAutoHyphens w:val="true"/>
        <w:bidi w:val="0"/>
        <w:spacing w:lineRule="auto" w:line="276" w:before="0" w:after="200"/>
        <w:ind w:left="1077" w:right="0" w:hanging="0"/>
        <w:contextualSpacing/>
        <w:jc w:val="both"/>
        <w:rPr>
          <w:rFonts w:ascii="Times New Roman" w:hAnsi="Times New Roman" w:eastAsia="Calibri" w:cs="Times New Roman" w:eastAsiaTheme="minorHAnsi"/>
          <w:b/>
          <w:b/>
          <w:bCs/>
          <w:color w:val="auto"/>
          <w:kern w:val="0"/>
          <w:sz w:val="26"/>
          <w:szCs w:val="26"/>
          <w:lang w:val="ru-RU" w:eastAsia="en-US" w:bidi="ar-SA"/>
        </w:rPr>
      </w:pPr>
      <w:r>
        <w:rPr>
          <w:rFonts w:eastAsia="Calibri" w:cs="Times New Roman" w:ascii="Times New Roman" w:hAnsi="Times New Roman" w:eastAsiaTheme="minorHAnsi"/>
          <w:b/>
          <w:bCs/>
          <w:color w:val="auto"/>
          <w:kern w:val="0"/>
          <w:sz w:val="26"/>
          <w:szCs w:val="26"/>
          <w:lang w:val="ru-RU" w:eastAsia="en-US" w:bidi="ar-SA"/>
        </w:rPr>
        <w:t>1. Граждане в размере от 40 000 до 50 000 рублей;</w:t>
      </w:r>
    </w:p>
    <w:p>
      <w:pPr>
        <w:pStyle w:val="ListParagraph"/>
        <w:widowControl/>
        <w:suppressAutoHyphens w:val="true"/>
        <w:bidi w:val="0"/>
        <w:spacing w:lineRule="auto" w:line="276" w:before="0" w:after="200"/>
        <w:ind w:left="1077" w:right="0" w:hanging="0"/>
        <w:contextualSpacing/>
        <w:jc w:val="both"/>
        <w:rPr>
          <w:rFonts w:ascii="Times New Roman" w:hAnsi="Times New Roman" w:eastAsia="Calibri" w:cs="Times New Roman" w:eastAsiaTheme="minorHAnsi"/>
          <w:b/>
          <w:b/>
          <w:bCs/>
          <w:color w:val="auto"/>
          <w:kern w:val="0"/>
          <w:sz w:val="26"/>
          <w:szCs w:val="26"/>
          <w:lang w:val="ru-RU" w:eastAsia="en-US" w:bidi="ar-SA"/>
        </w:rPr>
      </w:pPr>
      <w:r>
        <w:rPr>
          <w:rFonts w:eastAsia="Calibri" w:cs="Times New Roman" w:ascii="Times New Roman" w:hAnsi="Times New Roman" w:eastAsiaTheme="minorHAnsi"/>
          <w:b/>
          <w:bCs/>
          <w:color w:val="auto"/>
          <w:kern w:val="0"/>
          <w:sz w:val="26"/>
          <w:szCs w:val="26"/>
          <w:lang w:val="ru-RU" w:eastAsia="en-US" w:bidi="ar-SA"/>
        </w:rPr>
        <w:t>2. Должностные лица – от 80 000 до 100 000 рублей;</w:t>
      </w:r>
    </w:p>
    <w:p>
      <w:pPr>
        <w:pStyle w:val="ListParagraph"/>
        <w:widowControl/>
        <w:suppressAutoHyphens w:val="true"/>
        <w:bidi w:val="0"/>
        <w:spacing w:lineRule="auto" w:line="276" w:before="0" w:after="0"/>
        <w:ind w:left="1077" w:right="0" w:hanging="0"/>
        <w:contextualSpacing w:val="false"/>
        <w:jc w:val="both"/>
        <w:rPr/>
      </w:pPr>
      <w:r>
        <w:rPr>
          <w:rFonts w:eastAsia="Calibri" w:cs="Times New Roman" w:ascii="Times New Roman" w:hAnsi="Times New Roman" w:eastAsiaTheme="minorHAnsi"/>
          <w:b/>
          <w:bCs/>
          <w:color w:val="auto"/>
          <w:kern w:val="0"/>
          <w:sz w:val="26"/>
          <w:szCs w:val="26"/>
          <w:lang w:val="ru-RU" w:eastAsia="en-US" w:bidi="ar-SA"/>
        </w:rPr>
        <w:t>3. Индивидуальным предпринимателям - от 90 000 до 150 000 рублей;</w:t>
      </w:r>
    </w:p>
    <w:p>
      <w:pPr>
        <w:pStyle w:val="ListParagraph"/>
        <w:widowControl/>
        <w:suppressAutoHyphens w:val="true"/>
        <w:bidi w:val="0"/>
        <w:spacing w:lineRule="auto" w:line="276" w:before="0" w:after="0"/>
        <w:ind w:left="1077" w:right="0" w:hanging="0"/>
        <w:contextualSpacing w:val="false"/>
        <w:jc w:val="both"/>
        <w:rPr/>
      </w:pPr>
      <w:r>
        <w:rPr>
          <w:rFonts w:eastAsia="Calibri" w:cs="Times New Roman" w:ascii="Times New Roman" w:hAnsi="Times New Roman" w:eastAsiaTheme="minorHAnsi"/>
          <w:b/>
          <w:bCs/>
          <w:color w:val="auto"/>
          <w:kern w:val="0"/>
          <w:sz w:val="26"/>
          <w:szCs w:val="26"/>
          <w:lang w:val="ru-RU" w:eastAsia="en-US" w:bidi="ar-SA"/>
        </w:rPr>
        <w:t>4. Юридические лица –  от 700 000 до 800 000 рублей.</w:t>
      </w:r>
    </w:p>
    <w:p>
      <w:pPr>
        <w:pStyle w:val="Normal"/>
        <w:spacing w:lineRule="auto" w:line="240" w:before="0" w:after="0"/>
        <w:ind w:firstLine="708"/>
        <w:jc w:val="center"/>
        <w:rPr/>
      </w:pPr>
      <w:r>
        <w:rPr>
          <w:rFonts w:eastAsia="Calibri" w:cs="Times New Roman" w:ascii="Times New Roman" w:hAnsi="Times New Roman" w:eastAsiaTheme="minorHAnsi"/>
          <w:b/>
          <w:color w:val="auto"/>
          <w:kern w:val="0"/>
          <w:sz w:val="26"/>
          <w:szCs w:val="26"/>
          <w:u w:val="single"/>
          <w:lang w:val="ru-RU" w:eastAsia="en-US" w:bidi="ar-SA"/>
        </w:rPr>
        <w:t>В случае пожара</w:t>
      </w:r>
      <w:r>
        <w:rPr>
          <w:rFonts w:eastAsia="Calibri" w:cs="Times New Roman" w:ascii="Times New Roman" w:hAnsi="Times New Roman" w:eastAsiaTheme="minorHAnsi"/>
          <w:color w:val="auto"/>
          <w:kern w:val="0"/>
          <w:sz w:val="26"/>
          <w:szCs w:val="26"/>
          <w:u w:val="single"/>
          <w:lang w:val="ru-RU" w:eastAsia="en-US" w:bidi="ar-SA"/>
        </w:rPr>
        <w:t>:</w:t>
      </w:r>
    </w:p>
    <w:p>
      <w:pPr>
        <w:pStyle w:val="Normal"/>
        <w:spacing w:lineRule="auto" w:line="240" w:before="0" w:after="0"/>
        <w:ind w:firstLine="708"/>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 xml:space="preserve">Немедленно звоните в пожарную охрану по телефону «101» или «112», при этом не забудьте назвать адрес объекта, место возникновения пожара и сообщить свою фамилию. В случае угрозы жизни людей необходимо немедленно организовать их спасение, используя для этого имеющиеся силы и средства. До прибытия пожарного подразделения использовать в тушение пожара имеющиеся первичные средства пожаротушения (вода, песок, снег, огнетушители, тканевые материалы, смоченные водой). Удалите за пределы опасной зоны людей пожилого возраста, детей, инвалидов и больных. </w:t>
      </w:r>
    </w:p>
    <w:p>
      <w:pPr>
        <w:pStyle w:val="Normal"/>
        <w:spacing w:lineRule="auto" w:line="240" w:before="0" w:after="0"/>
        <w:ind w:hanging="0"/>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eastAsiaTheme="minorHAnsi" w:ascii="Times New Roman" w:hAnsi="Times New Roman"/>
          <w:color w:val="auto"/>
          <w:kern w:val="0"/>
          <w:sz w:val="26"/>
          <w:szCs w:val="26"/>
          <w:lang w:val="ru-RU" w:eastAsia="en-US" w:bidi="ar-SA"/>
        </w:rPr>
      </w:r>
    </w:p>
    <w:p>
      <w:pPr>
        <w:pStyle w:val="Normal"/>
        <w:spacing w:lineRule="auto" w:line="240" w:before="0" w:after="0"/>
        <w:ind w:hanging="0"/>
        <w:jc w:val="both"/>
        <w:rPr>
          <w:rFonts w:ascii="Times New Roman" w:hAnsi="Times New Roman" w:eastAsia="Calibri" w:cs="Times New Roman" w:eastAsiaTheme="minorHAnsi"/>
          <w:color w:val="auto"/>
          <w:kern w:val="0"/>
          <w:sz w:val="26"/>
          <w:szCs w:val="26"/>
          <w:lang w:val="ru-RU" w:eastAsia="en-US" w:bidi="ar-SA"/>
        </w:rPr>
      </w:pPr>
      <w:r>
        <w:rPr>
          <w:rFonts w:eastAsia="Calibri" w:cs="Times New Roman" w:eastAsiaTheme="minorHAnsi" w:ascii="Times New Roman" w:hAnsi="Times New Roman"/>
          <w:color w:val="auto"/>
          <w:kern w:val="0"/>
          <w:sz w:val="26"/>
          <w:szCs w:val="26"/>
          <w:lang w:val="ru-RU" w:eastAsia="en-US" w:bidi="ar-SA"/>
        </w:rPr>
        <w:t>С УВАЖЕНИЕМ!</w:t>
      </w:r>
    </w:p>
    <w:p>
      <w:pPr>
        <w:pStyle w:val="Normal"/>
        <w:spacing w:lineRule="auto" w:line="240" w:before="0" w:after="0"/>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 xml:space="preserve">Отделение надзорной деятельности и </w:t>
      </w:r>
    </w:p>
    <w:p>
      <w:pPr>
        <w:pStyle w:val="Normal"/>
        <w:spacing w:lineRule="auto" w:line="240" w:before="0" w:after="0"/>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 xml:space="preserve">профилактической работы по Рамешковскому </w:t>
      </w:r>
    </w:p>
    <w:p>
      <w:pPr>
        <w:pStyle w:val="Normal"/>
        <w:spacing w:lineRule="auto" w:line="240" w:before="0" w:after="0"/>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и Максатихинскому районам Тверской области</w:t>
      </w:r>
    </w:p>
    <w:p>
      <w:pPr>
        <w:pStyle w:val="Normal"/>
        <w:spacing w:lineRule="auto" w:line="240" w:before="0" w:after="0"/>
        <w:rPr>
          <w:rFonts w:ascii="Times New Roman" w:hAnsi="Times New Roman" w:eastAsia="Calibri" w:cs="Times New Roman" w:eastAsiaTheme="minorHAnsi"/>
          <w:color w:val="auto"/>
          <w:kern w:val="0"/>
          <w:sz w:val="26"/>
          <w:szCs w:val="26"/>
          <w:lang w:val="ru-RU" w:eastAsia="en-US" w:bidi="ar-SA"/>
        </w:rPr>
      </w:pPr>
      <w:r>
        <w:rPr>
          <w:rFonts w:eastAsia="Calibri" w:cs="Times New Roman" w:ascii="Times New Roman" w:hAnsi="Times New Roman" w:eastAsiaTheme="minorHAnsi"/>
          <w:color w:val="auto"/>
          <w:kern w:val="0"/>
          <w:sz w:val="26"/>
          <w:szCs w:val="26"/>
          <w:lang w:val="ru-RU" w:eastAsia="en-US" w:bidi="ar-SA"/>
        </w:rPr>
        <w:t>03</w:t>
      </w:r>
      <w:r>
        <w:rPr>
          <w:rFonts w:eastAsia="Calibri" w:cs="Times New Roman" w:ascii="Times New Roman" w:hAnsi="Times New Roman" w:eastAsiaTheme="minorHAnsi"/>
          <w:color w:val="auto"/>
          <w:kern w:val="0"/>
          <w:sz w:val="26"/>
          <w:szCs w:val="26"/>
          <w:lang w:val="ru-RU" w:eastAsia="en-US" w:bidi="ar-SA"/>
        </w:rPr>
        <w:t>.09.202</w:t>
      </w:r>
      <w:r>
        <w:rPr>
          <w:rFonts w:eastAsia="Calibri" w:cs="Times New Roman" w:ascii="Times New Roman" w:hAnsi="Times New Roman" w:eastAsiaTheme="minorHAnsi"/>
          <w:color w:val="auto"/>
          <w:kern w:val="0"/>
          <w:sz w:val="26"/>
          <w:szCs w:val="26"/>
          <w:lang w:val="ru-RU" w:eastAsia="en-US" w:bidi="ar-SA"/>
        </w:rPr>
        <w:t>4</w:t>
      </w:r>
      <w:r>
        <w:rPr>
          <w:rFonts w:eastAsia="Calibri" w:cs="Times New Roman" w:ascii="Times New Roman" w:hAnsi="Times New Roman" w:eastAsiaTheme="minorHAnsi"/>
          <w:color w:val="auto"/>
          <w:kern w:val="0"/>
          <w:sz w:val="26"/>
          <w:szCs w:val="26"/>
          <w:lang w:val="ru-RU" w:eastAsia="en-US" w:bidi="ar-SA"/>
        </w:rPr>
        <w:t xml:space="preserve"> г.</w:t>
      </w:r>
    </w:p>
    <w:sectPr>
      <w:type w:val="nextPage"/>
      <w:pgSz w:w="11906" w:h="16838"/>
      <w:pgMar w:left="1276" w:right="850" w:gutter="0" w:header="0" w:top="682" w:footer="0" w:bottom="426"/>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Courier New">
    <w:charset w:val="01"/>
    <w:family w:val="roman"/>
    <w:pitch w:val="default"/>
  </w:font>
  <w:font w:name="PT Astra Serif">
    <w:charset w:val="01"/>
    <w:family w:val="roman"/>
    <w:pitch w:val="default"/>
  </w:font>
  <w:font w:name="Arial">
    <w:charset w:val="01"/>
    <w:family w:val="roman"/>
    <w:pitch w:val="default"/>
  </w:font>
  <w:font w:name="Times New Roman">
    <w:charset w:val="01"/>
    <w:family w:val="roman"/>
    <w:pitch w:val="default"/>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bullet"/>
      <w:lvlText w:val="o"/>
      <w:lvlJc w:val="left"/>
      <w:pPr>
        <w:tabs>
          <w:tab w:val="num" w:pos="0"/>
        </w:tabs>
        <w:ind w:left="2149" w:hanging="360"/>
      </w:pPr>
      <w:rPr>
        <w:rFonts w:ascii="0" w:hAnsi="0" w:cs="0" w:hint="default"/>
      </w:rPr>
    </w:lvl>
    <w:lvl w:ilvl="2">
      <w:start w:val="1"/>
      <w:numFmt w:val="bullet"/>
      <w:lvlText w:val=""/>
      <w:lvlJc w:val="left"/>
      <w:pPr>
        <w:tabs>
          <w:tab w:val="num" w:pos="0"/>
        </w:tabs>
        <w:ind w:left="2869" w:hanging="360"/>
      </w:pPr>
      <w:rPr>
        <w:rFonts w:ascii="0" w:hAnsi="0" w:cs="0" w:hint="default"/>
      </w:rPr>
    </w:lvl>
    <w:lvl w:ilvl="3">
      <w:start w:val="1"/>
      <w:numFmt w:val="bullet"/>
      <w:lvlText w:val=""/>
      <w:lvlJc w:val="left"/>
      <w:pPr>
        <w:tabs>
          <w:tab w:val="num" w:pos="0"/>
        </w:tabs>
        <w:ind w:left="3589" w:hanging="360"/>
      </w:pPr>
      <w:rPr>
        <w:rFonts w:ascii="0" w:hAnsi="0" w:cs="0" w:hint="default"/>
      </w:rPr>
    </w:lvl>
    <w:lvl w:ilvl="4">
      <w:start w:val="1"/>
      <w:numFmt w:val="bullet"/>
      <w:lvlText w:val="o"/>
      <w:lvlJc w:val="left"/>
      <w:pPr>
        <w:tabs>
          <w:tab w:val="num" w:pos="0"/>
        </w:tabs>
        <w:ind w:left="4309" w:hanging="360"/>
      </w:pPr>
      <w:rPr>
        <w:rFonts w:ascii="0" w:hAnsi="0" w:cs="0" w:hint="default"/>
      </w:rPr>
    </w:lvl>
    <w:lvl w:ilvl="5">
      <w:start w:val="1"/>
      <w:numFmt w:val="bullet"/>
      <w:lvlText w:val=""/>
      <w:lvlJc w:val="left"/>
      <w:pPr>
        <w:tabs>
          <w:tab w:val="num" w:pos="0"/>
        </w:tabs>
        <w:ind w:left="5029" w:hanging="360"/>
      </w:pPr>
      <w:rPr>
        <w:rFonts w:ascii="0" w:hAnsi="0" w:cs="0" w:hint="default"/>
      </w:rPr>
    </w:lvl>
    <w:lvl w:ilvl="6">
      <w:start w:val="1"/>
      <w:numFmt w:val="bullet"/>
      <w:lvlText w:val=""/>
      <w:lvlJc w:val="left"/>
      <w:pPr>
        <w:tabs>
          <w:tab w:val="num" w:pos="0"/>
        </w:tabs>
        <w:ind w:left="5749" w:hanging="360"/>
      </w:pPr>
      <w:rPr>
        <w:rFonts w:ascii="0" w:hAnsi="0" w:cs="0" w:hint="default"/>
      </w:rPr>
    </w:lvl>
    <w:lvl w:ilvl="7">
      <w:start w:val="1"/>
      <w:numFmt w:val="bullet"/>
      <w:lvlText w:val="o"/>
      <w:lvlJc w:val="left"/>
      <w:pPr>
        <w:tabs>
          <w:tab w:val="num" w:pos="0"/>
        </w:tabs>
        <w:ind w:left="6469" w:hanging="360"/>
      </w:pPr>
      <w:rPr>
        <w:rFonts w:ascii="0" w:hAnsi="0" w:cs="0" w:hint="default"/>
      </w:rPr>
    </w:lvl>
    <w:lvl w:ilvl="8">
      <w:start w:val="1"/>
      <w:numFmt w:val="bullet"/>
      <w:lvlText w:val=""/>
      <w:lvlJc w:val="left"/>
      <w:pPr>
        <w:tabs>
          <w:tab w:val="num" w:pos="0"/>
        </w:tabs>
        <w:ind w:left="7189" w:hanging="360"/>
      </w:pPr>
      <w:rPr>
        <w:rFonts w:ascii="0" w:hAnsi="0" w:cs="0"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b3f2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b40b88"/>
    <w:rPr>
      <w:rFonts w:ascii="Tahoma" w:hAnsi="Tahoma" w:cs="Tahoma"/>
      <w:sz w:val="16"/>
      <w:szCs w:val="16"/>
    </w:rPr>
  </w:style>
  <w:style w:type="character" w:styleId="212pt">
    <w:name w:val="Основной текст (2) + 12 pt"/>
    <w:qFormat/>
    <w:rPr>
      <w:color w:val="000000"/>
      <w:spacing w:val="0"/>
      <w:w w:val="100"/>
      <w:lang w:eastAsia="ru-RU"/>
    </w:rPr>
  </w:style>
  <w:style w:type="character" w:styleId="2">
    <w:name w:val="Основной текст (2) + Полужирный"/>
    <w:qFormat/>
    <w:rPr>
      <w:b/>
      <w:color w:val="000000"/>
      <w:spacing w:val="0"/>
      <w:w w:val="100"/>
      <w:sz w:val="28"/>
      <w:lang w:eastAsia="ru-RU"/>
    </w:rPr>
  </w:style>
  <w:style w:type="character" w:styleId="21">
    <w:name w:val="Основной текст (2)_"/>
    <w:qFormat/>
    <w:rPr>
      <w:sz w:val="28"/>
      <w:shd w:fill="FFFFFF" w:val="clear"/>
    </w:rPr>
  </w:style>
  <w:style w:type="character" w:styleId="Style15">
    <w:name w:val="Делопроизводство Знак"/>
    <w:qFormat/>
    <w:rPr>
      <w:rFonts w:ascii="Calibri" w:hAnsi="Calibri" w:eastAsia="Calibri"/>
      <w:sz w:val="30"/>
      <w:szCs w:val="30"/>
      <w:lang w:eastAsia="en-US"/>
    </w:rPr>
  </w:style>
  <w:style w:type="character" w:styleId="1">
    <w:name w:val="Заголовок 1 Знак"/>
    <w:qFormat/>
    <w:rPr>
      <w:rFonts w:ascii="Courier New" w:hAnsi="Courier New" w:cs="Courier New"/>
      <w:b/>
      <w:sz w:val="32"/>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BalloonText">
    <w:name w:val="Balloon Text"/>
    <w:basedOn w:val="Normal"/>
    <w:uiPriority w:val="99"/>
    <w:semiHidden/>
    <w:unhideWhenUsed/>
    <w:qFormat/>
    <w:rsid w:val="00b40b88"/>
    <w:pPr>
      <w:spacing w:lineRule="auto" w:line="240" w:before="0" w:after="0"/>
    </w:pPr>
    <w:rPr>
      <w:rFonts w:ascii="Tahoma" w:hAnsi="Tahoma" w:cs="Tahoma"/>
      <w:sz w:val="16"/>
      <w:szCs w:val="16"/>
    </w:rPr>
  </w:style>
  <w:style w:type="paragraph" w:styleId="Text1" w:customStyle="1">
    <w:name w:val="text1"/>
    <w:basedOn w:val="Normal"/>
    <w:qFormat/>
    <w:rsid w:val="00716e2f"/>
    <w:pPr>
      <w:spacing w:lineRule="atLeast" w:line="240" w:before="0" w:after="300"/>
      <w:ind w:left="195" w:right="195" w:hanging="0"/>
      <w:jc w:val="both"/>
    </w:pPr>
    <w:rPr>
      <w:rFonts w:ascii="Arial" w:hAnsi="Arial" w:eastAsia="Times New Roman" w:cs="Arial"/>
      <w:color w:val="5E594E"/>
      <w:sz w:val="18"/>
      <w:szCs w:val="18"/>
      <w:lang w:eastAsia="ru-RU"/>
    </w:rPr>
  </w:style>
  <w:style w:type="paragraph" w:styleId="22">
    <w:name w:val="Основной текст (2)"/>
    <w:basedOn w:val="Normal"/>
    <w:qFormat/>
    <w:pPr>
      <w:widowControl w:val="false"/>
      <w:shd w:fill="FFFFFF"/>
      <w:spacing w:lineRule="exact" w:line="331"/>
      <w:jc w:val="center"/>
    </w:pPr>
    <w:rPr>
      <w:sz w:val="28"/>
    </w:rPr>
  </w:style>
  <w:style w:type="paragraph" w:styleId="Style21">
    <w:name w:val="Делопроизводство"/>
    <w:basedOn w:val="Normal"/>
    <w:qFormat/>
    <w:pPr>
      <w:ind w:right="-1" w:firstLine="709"/>
      <w:jc w:val="both"/>
    </w:pPr>
    <w:rPr>
      <w:rFonts w:ascii="Calibri" w:hAnsi="Calibri" w:eastAsia="Calibri"/>
      <w:sz w:val="30"/>
      <w:szCs w:val="30"/>
      <w:lang w:eastAsia="en-US"/>
    </w:rPr>
  </w:style>
  <w:style w:type="paragraph" w:styleId="ListParagraph">
    <w:name w:val="List Paragraph"/>
    <w:basedOn w:val="Normal"/>
    <w:qFormat/>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0F5AD-EB3A-47BE-8C78-EAF639F30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Application>LibreOffice/7.3.6.2$Linux_X86_64 LibreOffice_project/30$Build-2</Application>
  <AppVersion>15.0000</AppVersion>
  <Pages>2</Pages>
  <Words>793</Words>
  <Characters>5197</Characters>
  <CharactersWithSpaces>5955</CharactersWithSpaces>
  <Paragraphs>41</Paragraphs>
  <Company>ОНД Бежецк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dc:language>ru-RU</dc:language>
  <cp:lastModifiedBy/>
  <dcterms:modified xsi:type="dcterms:W3CDTF">2024-09-03T16:56:03Z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