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0" w:right="0" w:firstLine="709"/>
        <w:jc w:val="both"/>
        <w:rPr>
          <w:b/>
          <w:b/>
          <w:bCs/>
          <w:highlight w:val="none"/>
          <w:shd w:fill="auto" w:val="clear"/>
        </w:rPr>
      </w:pPr>
      <w:r>
        <w:rPr>
          <w:rFonts w:eastAsia="Calibri" w:cs="Times New Roman" w:ascii="Times New Roman" w:hAnsi="Times New Roman" w:eastAsiaTheme="minorHAnsi"/>
          <w:b/>
          <w:bCs/>
          <w:i w:val="false"/>
          <w:iCs w:val="false"/>
          <w:color w:val="000000"/>
          <w:kern w:val="0"/>
          <w:sz w:val="24"/>
          <w:szCs w:val="24"/>
          <w:shd w:fill="auto" w:val="clear"/>
          <w:lang w:val="ru-RU" w:eastAsia="en-US" w:bidi="ar-SA"/>
        </w:rPr>
        <w:t xml:space="preserve">Отделение надзорной деятельности и профилактической работы по Рамешковскому и Максатихинскому районам Тверской области информирует, что </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в</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 xml:space="preserve"> связи с аномальными холодами на территории Тверской области сложилась сложная обстановка с пожарами и гибелью на них людей. Так по состоянию на 05 февраля 2026 года на территории области произошло 225 пожаров </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(186 в 2025 году)</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 xml:space="preserve">, на которых погибло 26 человек </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(11 в 2025 году)</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 xml:space="preserve">, травмы получили 11 человек </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(11 в 2025 году)</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 xml:space="preserve">. </w:t>
      </w: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При проведении анализа наблюдается рост негативных показателей связанных с пожарами и гибелью на них людей.</w:t>
      </w:r>
    </w:p>
    <w:p>
      <w:pPr>
        <w:pStyle w:val="Normal"/>
        <w:spacing w:lineRule="auto" w:line="240" w:before="0" w:after="0"/>
        <w:ind w:left="0" w:right="0" w:firstLine="709"/>
        <w:jc w:val="both"/>
        <w:rPr>
          <w:highlight w:val="none"/>
          <w:shd w:fill="auto" w:val="clear"/>
        </w:rPr>
      </w:pPr>
      <w:r>
        <w:rPr>
          <w:rFonts w:eastAsia="Calibri" w:cs="Times New Roman" w:ascii="Times New Roman" w:hAnsi="Times New Roman" w:eastAsiaTheme="minorHAnsi"/>
          <w:b/>
          <w:bCs/>
          <w:i w:val="false"/>
          <w:iCs w:val="false"/>
          <w:color w:val="000000"/>
          <w:kern w:val="0"/>
          <w:sz w:val="24"/>
          <w:szCs w:val="24"/>
          <w:u w:val="single"/>
          <w:shd w:fill="auto" w:val="clear"/>
          <w:lang w:val="ru-RU" w:eastAsia="en-US" w:bidi="ar-SA"/>
        </w:rPr>
        <w:t>В связи с этим на территории Тверской области Главным управлением МЧС России по Тверской области организовано проведение комплекса мер стабилизации обстановки — месячника безопасности.</w:t>
      </w:r>
    </w:p>
    <w:p>
      <w:pPr>
        <w:pStyle w:val="Normal"/>
        <w:spacing w:lineRule="auto" w:line="240" w:before="0" w:after="0"/>
        <w:ind w:left="0" w:right="0" w:firstLine="709"/>
        <w:jc w:val="both"/>
        <w:rPr>
          <w:rFonts w:ascii="Times New Roman" w:hAnsi="Times New Roman" w:eastAsia="Calibri" w:cs="Times New Roman" w:eastAsiaTheme="minorHAnsi"/>
          <w:b w:val="false"/>
          <w:b w:val="false"/>
          <w:bCs w:val="false"/>
          <w:i w:val="false"/>
          <w:i w:val="false"/>
          <w:iCs w:val="false"/>
          <w:color w:val="auto"/>
          <w:kern w:val="0"/>
          <w:highlight w:val="none"/>
          <w:shd w:fill="auto" w:val="clear"/>
          <w:lang w:val="ru-RU" w:eastAsia="en-US" w:bidi="ar-SA"/>
        </w:rPr>
      </w:pPr>
      <w:r>
        <w:rPr>
          <w:rFonts w:eastAsia="Calibri" w:cs="Times New Roman" w:eastAsiaTheme="minorHAnsi" w:ascii="Times New Roman" w:hAnsi="Times New Roman"/>
          <w:b w:val="false"/>
          <w:bCs w:val="false"/>
          <w:i w:val="false"/>
          <w:iCs w:val="false"/>
          <w:color w:val="000000"/>
          <w:kern w:val="0"/>
          <w:shd w:fill="auto" w:val="clear"/>
          <w:lang w:val="ru-RU" w:eastAsia="en-US" w:bidi="ar-SA"/>
        </w:rPr>
      </w:r>
    </w:p>
    <w:p>
      <w:pPr>
        <w:pStyle w:val="Normal"/>
        <w:spacing w:lineRule="auto" w:line="240" w:before="0" w:after="0"/>
        <w:ind w:left="0" w:right="0" w:firstLine="709"/>
        <w:jc w:val="both"/>
        <w:rPr>
          <w:sz w:val="24"/>
          <w:szCs w:val="24"/>
        </w:rPr>
      </w:pPr>
      <w:r>
        <w:rPr>
          <w:rFonts w:eastAsia="Calibri" w:cs="Times New Roman" w:ascii="Times New Roman" w:hAnsi="Times New Roman" w:eastAsiaTheme="minorHAnsi"/>
          <w:b w:val="false"/>
          <w:bCs w:val="false"/>
          <w:i w:val="false"/>
          <w:iCs w:val="false"/>
          <w:color w:val="000000"/>
          <w:kern w:val="0"/>
          <w:sz w:val="24"/>
          <w:szCs w:val="24"/>
          <w:shd w:fill="auto" w:val="clear"/>
          <w:lang w:val="ru-RU" w:eastAsia="en-US" w:bidi="ar-SA"/>
        </w:rPr>
        <w:t>Наступление холодов напрямую связано с активным использованием населением обогревательных приборов. Несоблюдени</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е жителями правил пожар</w:t>
      </w:r>
      <w:r>
        <w:rPr>
          <w:rFonts w:eastAsia="Calibri" w:cs="Times New Roman" w:ascii="Times New Roman" w:hAnsi="Times New Roman" w:eastAsiaTheme="minorHAnsi"/>
          <w:b w:val="false"/>
          <w:bCs w:val="false"/>
          <w:color w:val="auto"/>
          <w:kern w:val="0"/>
          <w:sz w:val="24"/>
          <w:szCs w:val="24"/>
          <w:lang w:val="ru-RU" w:eastAsia="en-US" w:bidi="ar-SA"/>
        </w:rPr>
        <w:t>ной безопасности при эксплуатации печного отопления и электроприборов приводит к пожарам.</w:t>
      </w:r>
    </w:p>
    <w:p>
      <w:pPr>
        <w:pStyle w:val="Normal"/>
        <w:spacing w:lineRule="auto" w:line="240" w:before="0" w:after="0"/>
        <w:ind w:firstLine="708"/>
        <w:jc w:val="both"/>
        <w:rPr>
          <w:sz w:val="24"/>
          <w:szCs w:val="24"/>
        </w:rPr>
      </w:pPr>
      <w:r>
        <w:rPr>
          <w:rFonts w:cs="Times New Roman" w:ascii="Times New Roman" w:hAnsi="Times New Roman"/>
          <w:b/>
          <w:bCs/>
          <w:sz w:val="24"/>
          <w:szCs w:val="24"/>
        </w:rPr>
        <w:t>Предупредить пожар легче, чем тушить. Обезопасить свой дом от пожара, значит не лишиться имущества, не подвергнуть риску собственную жизнь и здоровье близких, а также соседей, ведь при пожаре в многоквартирном доме могут пострадать и другие семьи, в том числе и дети, которые из-за чьей-то лени и непредусмотрительности могут остаться без жилья и имущества. До наступления похолодания проверьте сами себя</w:t>
      </w:r>
      <w:r>
        <w:rPr>
          <w:rFonts w:cs="Times New Roman" w:ascii="Times New Roman" w:hAnsi="Times New Roman"/>
          <w:sz w:val="24"/>
          <w:szCs w:val="24"/>
        </w:rPr>
        <w:t>, осмотрите свое жилище: все ли соответствует правилам пожарной безопасности? Все ли вы предусмотрели, чтобы не допустить возникновение пожара? Нет ли неисправных отопительных приборов, оголенных проводов, неисправной бытовой техники в вашем доме?</w:t>
      </w:r>
    </w:p>
    <w:p>
      <w:pPr>
        <w:pStyle w:val="Normal"/>
        <w:spacing w:lineRule="auto" w:line="240" w:before="0" w:after="0"/>
        <w:ind w:firstLine="708"/>
        <w:jc w:val="both"/>
        <w:rPr>
          <w:sz w:val="24"/>
          <w:szCs w:val="24"/>
        </w:rPr>
      </w:pPr>
      <w:r>
        <w:rPr>
          <w:rFonts w:eastAsia="Calibri" w:cs="Times New Roman" w:ascii="Times New Roman" w:hAnsi="Times New Roman" w:eastAsiaTheme="minorHAnsi"/>
          <w:b/>
          <w:color w:val="auto"/>
          <w:kern w:val="0"/>
          <w:sz w:val="24"/>
          <w:szCs w:val="24"/>
          <w:lang w:val="ru-RU" w:eastAsia="en-US" w:bidi="ar-SA"/>
        </w:rPr>
        <w:t>Во избежание пожаров в результате нарушения правил пожарной безопасности при эксплуатации электрооборудования и печного отопления следует соблюдать следующие правила:</w:t>
      </w:r>
    </w:p>
    <w:p>
      <w:pPr>
        <w:pStyle w:val="Normal"/>
        <w:spacing w:lineRule="auto" w:line="240" w:before="0" w:after="0"/>
        <w:ind w:firstLine="708"/>
        <w:jc w:val="both"/>
        <w:rPr>
          <w:rFonts w:ascii="Times New Roman" w:hAnsi="Times New Roman" w:eastAsia="Calibri" w:cs="Times New Roman" w:eastAsiaTheme="minorHAnsi"/>
          <w:b/>
          <w:b/>
          <w:bCs/>
          <w:color w:val="auto"/>
          <w:kern w:val="0"/>
          <w:u w:val="single"/>
          <w:lang w:val="ru-RU" w:eastAsia="en-US" w:bidi="ar-SA"/>
        </w:rPr>
      </w:pPr>
      <w:r>
        <w:rPr>
          <w:rFonts w:eastAsia="Calibri" w:cs="Times New Roman" w:eastAsiaTheme="minorHAnsi" w:ascii="Times New Roman" w:hAnsi="Times New Roman"/>
          <w:b/>
          <w:bCs/>
          <w:color w:val="auto"/>
          <w:kern w:val="0"/>
          <w:u w:val="single"/>
          <w:lang w:val="ru-RU" w:eastAsia="en-US" w:bidi="ar-SA"/>
        </w:rPr>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u w:val="single"/>
          <w:lang w:val="ru-RU" w:eastAsia="en-US" w:bidi="ar-SA"/>
        </w:rPr>
        <w:t>При эксплуатации печного отопления запрещается: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оставлять без присмотра печи, которые топятся, а также поручать надзор за ними детям;</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располагать топливо, другие горючие вещества и материалы на предтопочном листе;</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применять для розжига печей бензин, керосин, дизельное топливо и другие легковоспламеняющиеся и горючие жидкости;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топить углем, коксом и газом печи, не предназначенные для этих видов топлива;</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производить топку печей во время проведения в помещениях собраний и других массовых мероприятий;</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использовать вентиляционные и газовые каналы в качестве дымоходов;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перекаливать печи.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Зола и шлак, выгребаемые из топок, должны быть залиты водой и удалены в специально отведенное для них место.</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Запрещается</w:t>
      </w:r>
      <w:r>
        <w:rPr>
          <w:rFonts w:eastAsia="Calibri" w:cs="Times New Roman" w:ascii="Times New Roman" w:hAnsi="Times New Roman" w:eastAsiaTheme="minorHAnsi"/>
          <w:color w:val="auto"/>
          <w:kern w:val="0"/>
          <w:sz w:val="24"/>
          <w:szCs w:val="24"/>
          <w:lang w:val="ru-RU" w:eastAsia="en-US" w:bidi="ar-SA"/>
        </w:rPr>
        <w:t xml:space="preserve">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Неисправные печи и другие отопительные приборы к эксплуатации не допускаются.</w:t>
      </w:r>
    </w:p>
    <w:p>
      <w:pPr>
        <w:pStyle w:val="Normal"/>
        <w:spacing w:lineRule="auto" w:line="240" w:before="0" w:after="0"/>
        <w:ind w:firstLine="708"/>
        <w:jc w:val="both"/>
        <w:rPr>
          <w:rFonts w:ascii="Times New Roman" w:hAnsi="Times New Roman" w:eastAsia="Calibri" w:cs="Times New Roman" w:eastAsiaTheme="minorHAnsi"/>
          <w:b/>
          <w:b/>
          <w:bCs/>
          <w:color w:val="auto"/>
          <w:kern w:val="0"/>
          <w:u w:val="single"/>
          <w:lang w:val="ru-RU" w:eastAsia="en-US" w:bidi="ar-SA"/>
        </w:rPr>
      </w:pPr>
      <w:r>
        <w:rPr>
          <w:rFonts w:eastAsia="Calibri" w:cs="Times New Roman" w:eastAsiaTheme="minorHAnsi" w:ascii="Times New Roman" w:hAnsi="Times New Roman"/>
          <w:b/>
          <w:bCs/>
          <w:color w:val="auto"/>
          <w:kern w:val="0"/>
          <w:u w:val="single"/>
          <w:lang w:val="ru-RU" w:eastAsia="en-US" w:bidi="ar-SA"/>
        </w:rPr>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u w:val="single"/>
          <w:lang w:val="ru-RU" w:eastAsia="en-US" w:bidi="ar-SA"/>
        </w:rPr>
        <w:t>При эксплуатации электрооборудования запрещается: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эксплуатация электроприборов с нарушениями требований указанных в инструкции по применению приборов;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-оставлять без присмотра включенными в электрическую сеть электронагревательные приборы и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использовать самодельные и неисправные бытовые и обогревательные приборы, а также перегружать электрическую сеть включением одновременно большого количества электроприборов.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Основной причиной пожаров, на которых погибают люди, является неосторожное обращение с огнем, ввиду этого будьте осторожны при использовании открытого огня при курении (особенно в состоянии алкогольного опьянения).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Не оставляйте без присмотра детей, престарелых и больных граждан. Будьте бдительны, берегите себя и своих близких.</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Напоминаем, что за нарушение вышеуказанных требований предусмотрена административная ответственности в соответствии со статьей 20.4 Кодекса об административных правонарушениях:</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Граждане в размере от 5 000 до 15 000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Должностные лица – от 20 000 до 30 000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Индивидуальным предпринимателям - от 40 000 до 60 000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Юридические лица –  от 300 000 до 400 000 рублей.</w:t>
      </w:r>
    </w:p>
    <w:p>
      <w:pPr>
        <w:pStyle w:val="ListParagraph"/>
        <w:numPr>
          <w:ilvl w:val="0"/>
          <w:numId w:val="0"/>
        </w:numPr>
        <w:ind w:left="0" w:hanging="0"/>
        <w:jc w:val="both"/>
        <w:rPr>
          <w:sz w:val="24"/>
          <w:szCs w:val="24"/>
        </w:rPr>
      </w:pPr>
      <w:r>
        <w:rPr>
          <w:rFonts w:eastAsia="Calibri" w:cs="Times New Roman" w:ascii="Times New Roman" w:hAnsi="Times New Roman" w:eastAsiaTheme="minorHAnsi"/>
          <w:color w:val="auto"/>
          <w:kern w:val="0"/>
          <w:sz w:val="24"/>
          <w:szCs w:val="24"/>
          <w:lang w:val="ru-RU" w:eastAsia="en-US" w:bidi="ar-SA"/>
        </w:rPr>
        <w:t xml:space="preserve">В случае, если нарушение требований пожарной безопасности </w:t>
      </w:r>
      <w:r>
        <w:rPr>
          <w:rFonts w:eastAsia="Calibri" w:cs="Times New Roman" w:ascii="Times New Roman" w:hAnsi="Times New Roman" w:eastAsiaTheme="minorHAnsi"/>
          <w:b/>
          <w:bCs/>
          <w:color w:val="auto"/>
          <w:kern w:val="0"/>
          <w:sz w:val="24"/>
          <w:szCs w:val="24"/>
          <w:u w:val="single"/>
          <w:lang w:val="ru-RU" w:eastAsia="en-US" w:bidi="ar-SA"/>
        </w:rPr>
        <w:t>повлекут возникновение пожара и уничтожение или повреждение чужого имущества, либо причинение легкого или средней тяжести вреда здоровью человека</w:t>
      </w:r>
      <w:r>
        <w:rPr>
          <w:rFonts w:eastAsia="Calibri" w:cs="Times New Roman" w:ascii="Times New Roman" w:hAnsi="Times New Roman" w:eastAsiaTheme="minorHAnsi"/>
          <w:color w:val="auto"/>
          <w:kern w:val="0"/>
          <w:sz w:val="24"/>
          <w:szCs w:val="24"/>
          <w:lang w:val="ru-RU" w:eastAsia="en-US" w:bidi="ar-SA"/>
        </w:rPr>
        <w:t xml:space="preserve"> предусмотрены следующие наказания в соответствии со статьей 20.4 Кодекса об административных правонарушениях:</w:t>
      </w:r>
    </w:p>
    <w:p>
      <w:pPr>
        <w:pStyle w:val="ListParagraph"/>
        <w:widowControl/>
        <w:suppressAutoHyphens w:val="true"/>
        <w:bidi w:val="0"/>
        <w:spacing w:lineRule="auto" w:line="276" w:before="0" w:after="200"/>
        <w:ind w:left="1077" w:right="0" w:hanging="0"/>
        <w:contextualSpacing/>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1. Граждане в размере от 40 000 до 50 000 рублей;</w:t>
      </w:r>
    </w:p>
    <w:p>
      <w:pPr>
        <w:pStyle w:val="ListParagraph"/>
        <w:widowControl/>
        <w:suppressAutoHyphens w:val="true"/>
        <w:bidi w:val="0"/>
        <w:spacing w:lineRule="auto" w:line="276" w:before="0" w:after="200"/>
        <w:ind w:left="1077" w:right="0" w:hanging="0"/>
        <w:contextualSpacing/>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2. Должностные лица – от 80 000 до 100 000 рублей;</w:t>
      </w:r>
    </w:p>
    <w:p>
      <w:pPr>
        <w:pStyle w:val="ListParagraph"/>
        <w:widowControl/>
        <w:suppressAutoHyphens w:val="true"/>
        <w:bidi w:val="0"/>
        <w:spacing w:lineRule="auto" w:line="276" w:before="0" w:after="0"/>
        <w:ind w:left="1077" w:right="0" w:hanging="0"/>
        <w:contextualSpacing w:val="false"/>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3. Индивидуальным предпринимателям - от 90 000 до 150 000 рублей;</w:t>
      </w:r>
    </w:p>
    <w:p>
      <w:pPr>
        <w:pStyle w:val="ListParagraph"/>
        <w:widowControl/>
        <w:suppressAutoHyphens w:val="true"/>
        <w:bidi w:val="0"/>
        <w:spacing w:lineRule="auto" w:line="276" w:before="0" w:after="0"/>
        <w:ind w:left="1077" w:right="0" w:hanging="0"/>
        <w:contextualSpacing w:val="false"/>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4. Юридические лица –  от 700 000 до 800 000 рублей.</w:t>
      </w:r>
    </w:p>
    <w:p>
      <w:pPr>
        <w:pStyle w:val="Normal"/>
        <w:spacing w:lineRule="auto" w:line="240" w:before="0" w:after="0"/>
        <w:ind w:firstLine="708"/>
        <w:jc w:val="center"/>
        <w:rPr>
          <w:rFonts w:ascii="Times New Roman" w:hAnsi="Times New Roman" w:eastAsia="Calibri" w:cs="Times New Roman" w:eastAsiaTheme="minorHAnsi"/>
          <w:b/>
          <w:b/>
          <w:color w:val="auto"/>
          <w:kern w:val="0"/>
          <w:u w:val="single"/>
          <w:lang w:val="ru-RU" w:eastAsia="en-US" w:bidi="ar-SA"/>
        </w:rPr>
      </w:pPr>
      <w:r>
        <w:rPr>
          <w:rFonts w:eastAsia="Calibri" w:cs="Times New Roman" w:eastAsiaTheme="minorHAnsi" w:ascii="Times New Roman" w:hAnsi="Times New Roman"/>
          <w:b/>
          <w:color w:val="auto"/>
          <w:kern w:val="0"/>
          <w:u w:val="single"/>
          <w:lang w:val="ru-RU" w:eastAsia="en-US" w:bidi="ar-SA"/>
        </w:rPr>
      </w:r>
    </w:p>
    <w:p>
      <w:pPr>
        <w:pStyle w:val="Normal"/>
        <w:spacing w:lineRule="auto" w:line="240" w:before="0" w:after="0"/>
        <w:ind w:firstLine="708"/>
        <w:jc w:val="center"/>
        <w:rPr>
          <w:sz w:val="24"/>
          <w:szCs w:val="24"/>
        </w:rPr>
      </w:pPr>
      <w:r>
        <w:rPr>
          <w:rFonts w:eastAsia="Calibri" w:cs="Times New Roman" w:ascii="Times New Roman" w:hAnsi="Times New Roman" w:eastAsiaTheme="minorHAnsi"/>
          <w:b/>
          <w:color w:val="auto"/>
          <w:kern w:val="0"/>
          <w:sz w:val="24"/>
          <w:szCs w:val="24"/>
          <w:u w:val="single"/>
          <w:lang w:val="ru-RU" w:eastAsia="en-US" w:bidi="ar-SA"/>
        </w:rPr>
        <w:t>В случае пожара</w:t>
      </w:r>
      <w:r>
        <w:rPr>
          <w:rFonts w:eastAsia="Calibri" w:cs="Times New Roman" w:ascii="Times New Roman" w:hAnsi="Times New Roman" w:eastAsiaTheme="minorHAnsi"/>
          <w:color w:val="auto"/>
          <w:kern w:val="0"/>
          <w:sz w:val="24"/>
          <w:szCs w:val="24"/>
          <w:u w:val="single"/>
          <w:lang w:val="ru-RU" w:eastAsia="en-US" w:bidi="ar-SA"/>
        </w:rPr>
        <w:t>:</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xml:space="preserve">Немедленно звоните в пожарную охрану по телефону «101» или «112», при этом не забудьте назвать адрес объекта, место возникновения пожара и сообщить свою фамилию. В случае угрозы жизни людей необходимо немедленно организовать их спасение, используя для этого имеющиеся силы и средства. До прибытия пожарного подразделения использовать в тушение пожара имеющиеся первичные средства пожаротушения (вода, песок, снег, огнетушители, тканевые материалы, смоченные водой). Удалите за пределы опасной зоны людей пожилого возраста, детей, инвалидов и больных. </w:t>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sz w:val="24"/>
          <w:szCs w:val="24"/>
        </w:rPr>
      </w:pPr>
      <w:r>
        <w:rPr>
          <w:rFonts w:eastAsia="Calibri" w:cs="Times New Roman" w:ascii="Times New Roman" w:hAnsi="Times New Roman" w:eastAsiaTheme="minorHAnsi"/>
          <w:color w:val="auto"/>
          <w:kern w:val="0"/>
          <w:sz w:val="24"/>
          <w:szCs w:val="24"/>
          <w:lang w:val="ru-RU" w:eastAsia="en-US" w:bidi="ar-SA"/>
        </w:rPr>
        <w:t>С УВАЖЕНИЕМ!</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 xml:space="preserve">Отделение надзорной деятельности и </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 xml:space="preserve">профилактической работы по Рамешковскому </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и Максатихинскому районам Тверской области</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0</w:t>
      </w:r>
      <w:r>
        <w:rPr>
          <w:rFonts w:eastAsia="Calibri" w:cs="Times New Roman" w:ascii="Times New Roman" w:hAnsi="Times New Roman" w:eastAsiaTheme="minorHAnsi"/>
          <w:color w:val="auto"/>
          <w:kern w:val="0"/>
          <w:sz w:val="24"/>
          <w:szCs w:val="24"/>
          <w:lang w:val="ru-RU" w:eastAsia="en-US" w:bidi="ar-SA"/>
        </w:rPr>
        <w:t>3</w:t>
      </w:r>
      <w:r>
        <w:rPr>
          <w:rFonts w:eastAsia="Calibri" w:cs="Times New Roman" w:ascii="Times New Roman" w:hAnsi="Times New Roman" w:eastAsiaTheme="minorHAnsi"/>
          <w:color w:val="auto"/>
          <w:kern w:val="0"/>
          <w:sz w:val="24"/>
          <w:szCs w:val="24"/>
          <w:lang w:val="ru-RU" w:eastAsia="en-US" w:bidi="ar-SA"/>
        </w:rPr>
        <w:t>.02.2026</w:t>
      </w:r>
    </w:p>
    <w:sectPr>
      <w:type w:val="nextPage"/>
      <w:pgSz w:w="11906" w:h="16838"/>
      <w:pgMar w:left="1276" w:right="850" w:gutter="0" w:header="0" w:top="682"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Arial">
    <w:charset w:val="01"/>
    <w:family w:val="roman"/>
    <w:pitch w:val="default"/>
  </w:font>
  <w:font w:name="Times New Roman">
    <w:charset w:val="01"/>
    <w:family w:val="roman"/>
    <w:pitch w:val="default"/>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bullet"/>
      <w:lvlText w:val="o"/>
      <w:lvlJc w:val="left"/>
      <w:pPr>
        <w:tabs>
          <w:tab w:val="num" w:pos="0"/>
        </w:tabs>
        <w:ind w:left="2149" w:hanging="360"/>
      </w:pPr>
      <w:rPr>
        <w:rFonts w:ascii="0" w:hAnsi="0" w:cs="0" w:hint="default"/>
      </w:rPr>
    </w:lvl>
    <w:lvl w:ilvl="2">
      <w:start w:val="1"/>
      <w:numFmt w:val="bullet"/>
      <w:lvlText w:val=""/>
      <w:lvlJc w:val="left"/>
      <w:pPr>
        <w:tabs>
          <w:tab w:val="num" w:pos="0"/>
        </w:tabs>
        <w:ind w:left="2869" w:hanging="360"/>
      </w:pPr>
      <w:rPr>
        <w:rFonts w:ascii="0" w:hAnsi="0" w:cs="0" w:hint="default"/>
      </w:rPr>
    </w:lvl>
    <w:lvl w:ilvl="3">
      <w:start w:val="1"/>
      <w:numFmt w:val="bullet"/>
      <w:lvlText w:val=""/>
      <w:lvlJc w:val="left"/>
      <w:pPr>
        <w:tabs>
          <w:tab w:val="num" w:pos="0"/>
        </w:tabs>
        <w:ind w:left="3589" w:hanging="360"/>
      </w:pPr>
      <w:rPr>
        <w:rFonts w:ascii="0" w:hAnsi="0" w:cs="0" w:hint="default"/>
      </w:rPr>
    </w:lvl>
    <w:lvl w:ilvl="4">
      <w:start w:val="1"/>
      <w:numFmt w:val="bullet"/>
      <w:lvlText w:val="o"/>
      <w:lvlJc w:val="left"/>
      <w:pPr>
        <w:tabs>
          <w:tab w:val="num" w:pos="0"/>
        </w:tabs>
        <w:ind w:left="4309" w:hanging="360"/>
      </w:pPr>
      <w:rPr>
        <w:rFonts w:ascii="0" w:hAnsi="0" w:cs="0" w:hint="default"/>
      </w:rPr>
    </w:lvl>
    <w:lvl w:ilvl="5">
      <w:start w:val="1"/>
      <w:numFmt w:val="bullet"/>
      <w:lvlText w:val=""/>
      <w:lvlJc w:val="left"/>
      <w:pPr>
        <w:tabs>
          <w:tab w:val="num" w:pos="0"/>
        </w:tabs>
        <w:ind w:left="5029" w:hanging="360"/>
      </w:pPr>
      <w:rPr>
        <w:rFonts w:ascii="0" w:hAnsi="0" w:cs="0" w:hint="default"/>
      </w:rPr>
    </w:lvl>
    <w:lvl w:ilvl="6">
      <w:start w:val="1"/>
      <w:numFmt w:val="bullet"/>
      <w:lvlText w:val=""/>
      <w:lvlJc w:val="left"/>
      <w:pPr>
        <w:tabs>
          <w:tab w:val="num" w:pos="0"/>
        </w:tabs>
        <w:ind w:left="5749" w:hanging="360"/>
      </w:pPr>
      <w:rPr>
        <w:rFonts w:ascii="0" w:hAnsi="0" w:cs="0" w:hint="default"/>
      </w:rPr>
    </w:lvl>
    <w:lvl w:ilvl="7">
      <w:start w:val="1"/>
      <w:numFmt w:val="bullet"/>
      <w:lvlText w:val="o"/>
      <w:lvlJc w:val="left"/>
      <w:pPr>
        <w:tabs>
          <w:tab w:val="num" w:pos="0"/>
        </w:tabs>
        <w:ind w:left="6469" w:hanging="360"/>
      </w:pPr>
      <w:rPr>
        <w:rFonts w:ascii="0" w:hAnsi="0" w:cs="0" w:hint="default"/>
      </w:rPr>
    </w:lvl>
    <w:lvl w:ilvl="8">
      <w:start w:val="1"/>
      <w:numFmt w:val="bullet"/>
      <w:lvlText w:val=""/>
      <w:lvlJc w:val="left"/>
      <w:pPr>
        <w:tabs>
          <w:tab w:val="num" w:pos="0"/>
        </w:tabs>
        <w:ind w:left="7189" w:hanging="360"/>
      </w:pPr>
      <w:rPr>
        <w:rFonts w:ascii="0" w:hAnsi="0" w:cs="0"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3f2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b40b88"/>
    <w:rPr>
      <w:rFonts w:ascii="Tahoma" w:hAnsi="Tahoma" w:cs="Tahoma"/>
      <w:sz w:val="16"/>
      <w:szCs w:val="16"/>
    </w:rPr>
  </w:style>
  <w:style w:type="character" w:styleId="212pt">
    <w:name w:val="Основной текст (2) + 12 pt"/>
    <w:qFormat/>
    <w:rPr>
      <w:color w:val="000000"/>
      <w:spacing w:val="0"/>
      <w:w w:val="100"/>
      <w:lang w:eastAsia="ru-RU"/>
    </w:rPr>
  </w:style>
  <w:style w:type="character" w:styleId="2">
    <w:name w:val="Основной текст (2) + Полужирный"/>
    <w:qFormat/>
    <w:rPr>
      <w:b/>
      <w:color w:val="000000"/>
      <w:spacing w:val="0"/>
      <w:w w:val="100"/>
      <w:sz w:val="28"/>
      <w:lang w:eastAsia="ru-RU"/>
    </w:rPr>
  </w:style>
  <w:style w:type="character" w:styleId="21">
    <w:name w:val="Основной текст (2)_"/>
    <w:qFormat/>
    <w:rPr>
      <w:sz w:val="28"/>
      <w:shd w:fill="FFFFFF" w:val="clear"/>
    </w:rPr>
  </w:style>
  <w:style w:type="character" w:styleId="Style15">
    <w:name w:val="Делопроизводство Знак"/>
    <w:qFormat/>
    <w:rPr>
      <w:rFonts w:ascii="Calibri" w:hAnsi="Calibri" w:eastAsia="Calibri"/>
      <w:sz w:val="30"/>
      <w:szCs w:val="30"/>
      <w:lang w:eastAsia="en-US"/>
    </w:rPr>
  </w:style>
  <w:style w:type="character" w:styleId="1">
    <w:name w:val="Заголовок 1 Знак"/>
    <w:qFormat/>
    <w:rPr>
      <w:rFonts w:ascii="Courier New" w:hAnsi="Courier New" w:cs="Courier New"/>
      <w:b/>
      <w:sz w:val="32"/>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uiPriority w:val="99"/>
    <w:semiHidden/>
    <w:unhideWhenUsed/>
    <w:qFormat/>
    <w:rsid w:val="00b40b88"/>
    <w:pPr>
      <w:spacing w:lineRule="auto" w:line="240" w:before="0" w:after="0"/>
    </w:pPr>
    <w:rPr>
      <w:rFonts w:ascii="Tahoma" w:hAnsi="Tahoma" w:cs="Tahoma"/>
      <w:sz w:val="16"/>
      <w:szCs w:val="16"/>
    </w:rPr>
  </w:style>
  <w:style w:type="paragraph" w:styleId="Text1" w:customStyle="1">
    <w:name w:val="text1"/>
    <w:basedOn w:val="Normal"/>
    <w:qFormat/>
    <w:rsid w:val="00716e2f"/>
    <w:pPr>
      <w:spacing w:lineRule="atLeast" w:line="240" w:before="0" w:after="300"/>
      <w:ind w:left="195" w:right="195" w:hanging="0"/>
      <w:jc w:val="both"/>
    </w:pPr>
    <w:rPr>
      <w:rFonts w:ascii="Arial" w:hAnsi="Arial" w:eastAsia="Times New Roman" w:cs="Arial"/>
      <w:color w:val="5E594E"/>
      <w:sz w:val="18"/>
      <w:szCs w:val="18"/>
      <w:lang w:eastAsia="ru-RU"/>
    </w:rPr>
  </w:style>
  <w:style w:type="paragraph" w:styleId="22">
    <w:name w:val="Основной текст (2)"/>
    <w:basedOn w:val="Normal"/>
    <w:qFormat/>
    <w:pPr>
      <w:widowControl w:val="false"/>
      <w:shd w:fill="FFFFFF"/>
      <w:spacing w:lineRule="exact" w:line="331"/>
      <w:jc w:val="center"/>
    </w:pPr>
    <w:rPr>
      <w:sz w:val="28"/>
    </w:rPr>
  </w:style>
  <w:style w:type="paragraph" w:styleId="Style21">
    <w:name w:val="Делопроизводство"/>
    <w:basedOn w:val="Normal"/>
    <w:qFormat/>
    <w:pPr>
      <w:ind w:right="-1" w:firstLine="709"/>
      <w:jc w:val="both"/>
    </w:pPr>
    <w:rPr>
      <w:rFonts w:ascii="Calibri" w:hAnsi="Calibri" w:eastAsia="Calibri"/>
      <w:sz w:val="30"/>
      <w:szCs w:val="30"/>
      <w:lang w:eastAsia="en-US"/>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F5AD-EB3A-47BE-8C78-EAF639F3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Application>LibreOffice/7.3.6.2$Linux_X86_64 LibreOffice_project/30$Build-2</Application>
  <AppVersion>15.0000</AppVersion>
  <Pages>2</Pages>
  <Words>884</Words>
  <Characters>5719</Characters>
  <CharactersWithSpaces>6566</CharactersWithSpaces>
  <Paragraphs>43</Paragraphs>
  <Company>ОНД Бежецк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language>ru-RU</dc:language>
  <cp:lastModifiedBy/>
  <dcterms:modified xsi:type="dcterms:W3CDTF">2026-02-06T19:01:06Z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