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C7" w:rsidRDefault="007C56C7" w:rsidP="007C56C7">
      <w:pPr>
        <w:keepNext/>
        <w:framePr w:dropCap="drop" w:lines="3" w:wrap="around" w:vAnchor="text" w:hAnchor="page" w:x="1902" w:y="1"/>
        <w:spacing w:line="1241" w:lineRule="exact"/>
        <w:textAlignment w:val="baseline"/>
        <w:rPr>
          <w:b/>
          <w:bCs/>
          <w:i/>
          <w:iCs/>
          <w:position w:val="-17"/>
          <w:u w:val="single"/>
        </w:rPr>
      </w:pPr>
      <w:bookmarkStart w:id="0" w:name="OLE_LINK42"/>
      <w:bookmarkStart w:id="1" w:name="OLE_LINK40"/>
      <w:bookmarkStart w:id="2" w:name="OLE_LINK32"/>
    </w:p>
    <w:bookmarkEnd w:id="0"/>
    <w:bookmarkEnd w:id="1"/>
    <w:bookmarkEnd w:id="2"/>
    <w:p w:rsidR="00401EA6" w:rsidRDefault="00ED543D" w:rsidP="00ED543D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401EA6">
        <w:rPr>
          <w:b/>
          <w:i/>
          <w:noProof/>
          <w:position w:val="-17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781050"/>
            <wp:effectExtent l="0" t="0" r="9525" b="0"/>
            <wp:wrapSquare wrapText="bothSides"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Общество с ограниченной</w:t>
      </w:r>
      <w:r w:rsidR="00401EA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ответственностью</w:t>
      </w:r>
      <w:r w:rsidR="00401EA6" w:rsidRPr="00401EA6">
        <w:rPr>
          <w:b/>
          <w:i/>
          <w:noProof/>
          <w:position w:val="-17"/>
          <w:sz w:val="22"/>
          <w:szCs w:val="22"/>
        </w:rPr>
        <w:t xml:space="preserve"> </w:t>
      </w:r>
      <w:r w:rsidR="00401EA6">
        <w:rPr>
          <w:b/>
          <w:i/>
          <w:noProof/>
          <w:position w:val="-17"/>
          <w:sz w:val="22"/>
          <w:szCs w:val="22"/>
        </w:rPr>
        <w:t xml:space="preserve">                           </w:t>
      </w:r>
      <w:r w:rsidR="00401EA6" w:rsidRPr="00401EA6">
        <w:rPr>
          <w:rFonts w:ascii="Bookman Old Style" w:hAnsi="Bookman Old Style"/>
          <w:b/>
          <w:i/>
          <w:sz w:val="28"/>
          <w:szCs w:val="28"/>
        </w:rPr>
        <w:t>«Консалтинговый центр «МОНОЛИТ»</w:t>
      </w:r>
      <w:r w:rsidR="00401EA6"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ED543D" w:rsidRDefault="00ED543D" w:rsidP="00582721">
      <w:pPr>
        <w:rPr>
          <w:rFonts w:ascii="Bookman Old Style" w:hAnsi="Bookman Old Style"/>
          <w:b/>
          <w:i/>
          <w:sz w:val="20"/>
          <w:szCs w:val="20"/>
        </w:rPr>
      </w:pPr>
    </w:p>
    <w:p w:rsidR="00ED543D" w:rsidRDefault="00ED543D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8(495) 231-82-12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ОГРН 1125027019050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</w:rPr>
        <w:t xml:space="preserve">  </w:t>
      </w:r>
      <w:r w:rsidRPr="00ED543D">
        <w:rPr>
          <w:rFonts w:ascii="Bookman Old Style" w:hAnsi="Bookman Old Style"/>
          <w:b/>
          <w:i/>
          <w:sz w:val="20"/>
          <w:szCs w:val="20"/>
        </w:rPr>
        <w:t xml:space="preserve">ИНН/КПП 5027195722/502701001              </w:t>
      </w: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      </w:t>
      </w:r>
      <w:r w:rsidRPr="00ED543D">
        <w:rPr>
          <w:rFonts w:ascii="Bookman Old Style" w:hAnsi="Bookman Old Style"/>
          <w:b/>
          <w:i/>
          <w:sz w:val="20"/>
          <w:szCs w:val="20"/>
        </w:rPr>
        <w:t>140000, Московская область, Люберцы, Октябрьский проспект, 127</w:t>
      </w:r>
    </w:p>
    <w:p w:rsidR="003F7077" w:rsidRDefault="003F7077" w:rsidP="00401EA6">
      <w:pPr>
        <w:pBdr>
          <w:bottom w:val="single" w:sz="12" w:space="1" w:color="auto"/>
        </w:pBdr>
        <w:spacing w:line="360" w:lineRule="auto"/>
        <w:rPr>
          <w:b/>
          <w:bCs/>
          <w:i/>
          <w:iCs/>
          <w:u w:val="single"/>
        </w:rPr>
      </w:pPr>
    </w:p>
    <w:p w:rsidR="00ED543D" w:rsidRDefault="00ED543D" w:rsidP="00ED543D"/>
    <w:p w:rsidR="00131807" w:rsidRDefault="00B24B82" w:rsidP="00135A84">
      <w:pPr>
        <w:jc w:val="center"/>
      </w:pPr>
      <w:r>
        <w:t>Прайс-лист строительно-технической</w:t>
      </w:r>
      <w:r w:rsidR="00135A84">
        <w:t xml:space="preserve"> эксп</w:t>
      </w:r>
      <w:r>
        <w:t>ертизы на</w:t>
      </w:r>
      <w:r w:rsidR="00ED543D">
        <w:t xml:space="preserve"> 2016/2017 гг.</w:t>
      </w:r>
    </w:p>
    <w:p w:rsidR="00135A84" w:rsidRPr="00135A84" w:rsidRDefault="00135A84" w:rsidP="00135A84">
      <w:pPr>
        <w:jc w:val="center"/>
      </w:pPr>
    </w:p>
    <w:tbl>
      <w:tblPr>
        <w:tblStyle w:val="a7"/>
        <w:tblW w:w="9776" w:type="dxa"/>
        <w:tblLook w:val="04A0"/>
      </w:tblPr>
      <w:tblGrid>
        <w:gridCol w:w="7650"/>
        <w:gridCol w:w="2126"/>
      </w:tblGrid>
      <w:tr w:rsidR="00135A84" w:rsidRPr="007D742B" w:rsidTr="00135A84">
        <w:tc>
          <w:tcPr>
            <w:tcW w:w="7650" w:type="dxa"/>
            <w:hideMark/>
          </w:tcPr>
          <w:p w:rsidR="00135A84" w:rsidRPr="007D742B" w:rsidRDefault="00135A84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</w:t>
            </w:r>
            <w:r w:rsidRPr="00976044">
              <w:rPr>
                <w:rFonts w:ascii="Arial" w:hAnsi="Arial" w:cs="Arial"/>
                <w:color w:val="000000"/>
                <w:sz w:val="27"/>
                <w:szCs w:val="27"/>
              </w:rPr>
              <w:t>Наименования и виды услуг</w:t>
            </w:r>
          </w:p>
        </w:tc>
        <w:tc>
          <w:tcPr>
            <w:tcW w:w="2126" w:type="dxa"/>
            <w:hideMark/>
          </w:tcPr>
          <w:p w:rsidR="00135A84" w:rsidRPr="007D742B" w:rsidRDefault="00135A84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5A84" w:rsidRPr="007D742B" w:rsidTr="00D1189E">
        <w:tc>
          <w:tcPr>
            <w:tcW w:w="7650" w:type="dxa"/>
            <w:vAlign w:val="center"/>
            <w:hideMark/>
          </w:tcPr>
          <w:p w:rsidR="00135A84" w:rsidRPr="00976044" w:rsidRDefault="00135A84" w:rsidP="00135A84">
            <w:pPr>
              <w:spacing w:after="300"/>
              <w:rPr>
                <w:color w:val="000000"/>
              </w:rPr>
            </w:pPr>
            <w:r w:rsidRPr="00976044">
              <w:rPr>
                <w:color w:val="000000"/>
              </w:rPr>
              <w:t>Определение качества выполненных строительных работ</w:t>
            </w:r>
          </w:p>
        </w:tc>
        <w:tc>
          <w:tcPr>
            <w:tcW w:w="2126" w:type="dxa"/>
            <w:vAlign w:val="center"/>
            <w:hideMark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15 000</w:t>
            </w:r>
          </w:p>
        </w:tc>
      </w:tr>
      <w:tr w:rsidR="00135A84" w:rsidRPr="007D742B" w:rsidTr="00D1189E">
        <w:tc>
          <w:tcPr>
            <w:tcW w:w="7650" w:type="dxa"/>
            <w:vAlign w:val="center"/>
            <w:hideMark/>
          </w:tcPr>
          <w:p w:rsidR="00135A84" w:rsidRPr="00976044" w:rsidRDefault="00135A84" w:rsidP="00135A84">
            <w:pPr>
              <w:spacing w:after="300"/>
              <w:rPr>
                <w:color w:val="000000"/>
              </w:rPr>
            </w:pPr>
            <w:r w:rsidRPr="00976044">
              <w:rPr>
                <w:color w:val="000000"/>
              </w:rPr>
              <w:t>Определение объемов и стоимости выполненных строительных работ</w:t>
            </w:r>
          </w:p>
        </w:tc>
        <w:tc>
          <w:tcPr>
            <w:tcW w:w="2126" w:type="dxa"/>
            <w:vAlign w:val="center"/>
            <w:hideMark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12 000</w:t>
            </w:r>
          </w:p>
        </w:tc>
      </w:tr>
      <w:tr w:rsidR="00135A84" w:rsidRPr="007D742B" w:rsidTr="00D1189E">
        <w:tc>
          <w:tcPr>
            <w:tcW w:w="7650" w:type="dxa"/>
            <w:vAlign w:val="center"/>
          </w:tcPr>
          <w:p w:rsidR="00135A84" w:rsidRPr="00976044" w:rsidRDefault="00135A84" w:rsidP="00135A84">
            <w:pPr>
              <w:spacing w:after="300"/>
              <w:rPr>
                <w:color w:val="000000"/>
              </w:rPr>
            </w:pPr>
            <w:r w:rsidRPr="00976044">
              <w:rPr>
                <w:color w:val="000000"/>
              </w:rPr>
              <w:t>Определение стоимости работ по устранению выявленных дефектов и недостатков</w:t>
            </w:r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10 000</w:t>
            </w:r>
          </w:p>
        </w:tc>
      </w:tr>
      <w:tr w:rsidR="00135A84" w:rsidRPr="007D742B" w:rsidTr="00D1189E"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6" w:history="1">
              <w:r w:rsidR="00135A84" w:rsidRPr="00135A84">
                <w:rPr>
                  <w:color w:val="000000"/>
                </w:rPr>
                <w:t>Экспертиза квартиры</w:t>
              </w:r>
            </w:hyperlink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12 000</w:t>
            </w:r>
          </w:p>
        </w:tc>
      </w:tr>
      <w:tr w:rsidR="00135A84" w:rsidRPr="007D742B" w:rsidTr="00D1189E">
        <w:trPr>
          <w:trHeight w:val="232"/>
        </w:trPr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7" w:history="1">
              <w:r w:rsidR="00135A84" w:rsidRPr="00135A84">
                <w:rPr>
                  <w:color w:val="000000"/>
                </w:rPr>
                <w:t>Экспертиза дома</w:t>
              </w:r>
            </w:hyperlink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15 000</w:t>
            </w:r>
          </w:p>
        </w:tc>
      </w:tr>
      <w:tr w:rsidR="00135A84" w:rsidRPr="007D742B" w:rsidTr="00D1189E"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8" w:history="1">
              <w:r w:rsidR="00135A84" w:rsidRPr="00135A84">
                <w:rPr>
                  <w:color w:val="000000"/>
                </w:rPr>
                <w:t>Определение причины залива помещения</w:t>
              </w:r>
            </w:hyperlink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12 000</w:t>
            </w:r>
          </w:p>
        </w:tc>
      </w:tr>
      <w:tr w:rsidR="00135A84" w:rsidRPr="007D742B" w:rsidTr="00D1189E"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9" w:history="1">
              <w:r w:rsidR="00135A84" w:rsidRPr="00135A84">
                <w:rPr>
                  <w:color w:val="000000"/>
                </w:rPr>
                <w:t>Экспертиза самовольных построек</w:t>
              </w:r>
            </w:hyperlink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15 000</w:t>
            </w:r>
          </w:p>
        </w:tc>
      </w:tr>
      <w:tr w:rsidR="00135A84" w:rsidRPr="007D742B" w:rsidTr="00D1189E"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10" w:history="1">
              <w:r w:rsidR="00135A84" w:rsidRPr="00135A84">
                <w:rPr>
                  <w:color w:val="000000"/>
                </w:rPr>
                <w:t>Определение пригодности дома к проживанию</w:t>
              </w:r>
            </w:hyperlink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20 000</w:t>
            </w:r>
          </w:p>
        </w:tc>
      </w:tr>
      <w:tr w:rsidR="00135A84" w:rsidRPr="007D742B" w:rsidTr="00D1189E"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11" w:history="1">
              <w:r w:rsidR="00135A84" w:rsidRPr="00135A84">
                <w:rPr>
                  <w:color w:val="000000"/>
                </w:rPr>
                <w:t>Определение капитальности строения, здания, сооружения</w:t>
              </w:r>
            </w:hyperlink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30 000</w:t>
            </w:r>
          </w:p>
        </w:tc>
      </w:tr>
      <w:tr w:rsidR="00135A84" w:rsidRPr="007D742B" w:rsidTr="000D71FE"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12" w:history="1">
              <w:r w:rsidR="00135A84" w:rsidRPr="00135A84">
                <w:rPr>
                  <w:color w:val="000000"/>
                </w:rPr>
                <w:t>Обследование зданий и сооружений за м. кв.</w:t>
              </w:r>
            </w:hyperlink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40</w:t>
            </w:r>
          </w:p>
        </w:tc>
      </w:tr>
      <w:tr w:rsidR="00135A84" w:rsidRPr="007D742B" w:rsidTr="000D71FE">
        <w:tc>
          <w:tcPr>
            <w:tcW w:w="7650" w:type="dxa"/>
            <w:vAlign w:val="center"/>
          </w:tcPr>
          <w:p w:rsidR="00135A84" w:rsidRPr="00976044" w:rsidRDefault="00135A84" w:rsidP="00135A84">
            <w:pPr>
              <w:spacing w:after="300"/>
              <w:rPr>
                <w:color w:val="000000"/>
              </w:rPr>
            </w:pPr>
            <w:r w:rsidRPr="00976044">
              <w:rPr>
                <w:color w:val="000000"/>
              </w:rPr>
              <w:t>Определение причин образования деформаций строительных конструкций с выдачей рекомендаций по восстановлению</w:t>
            </w:r>
          </w:p>
        </w:tc>
        <w:tc>
          <w:tcPr>
            <w:tcW w:w="2126" w:type="dxa"/>
            <w:vAlign w:val="center"/>
          </w:tcPr>
          <w:p w:rsidR="00135A84" w:rsidRPr="00976044" w:rsidRDefault="00135A84" w:rsidP="00135A84">
            <w:pPr>
              <w:spacing w:after="300"/>
              <w:jc w:val="center"/>
              <w:rPr>
                <w:color w:val="000000"/>
              </w:rPr>
            </w:pPr>
            <w:r w:rsidRPr="00976044">
              <w:rPr>
                <w:color w:val="000000"/>
              </w:rPr>
              <w:t>от 25 000</w:t>
            </w:r>
          </w:p>
        </w:tc>
      </w:tr>
      <w:tr w:rsidR="00135A84" w:rsidRPr="007D742B" w:rsidTr="0046240A">
        <w:tc>
          <w:tcPr>
            <w:tcW w:w="7650" w:type="dxa"/>
            <w:vAlign w:val="center"/>
          </w:tcPr>
          <w:p w:rsidR="00135A84" w:rsidRPr="00976044" w:rsidRDefault="00E1798D" w:rsidP="00135A84">
            <w:pPr>
              <w:spacing w:after="300"/>
              <w:rPr>
                <w:color w:val="000000"/>
              </w:rPr>
            </w:pPr>
            <w:hyperlink r:id="rId13" w:history="1">
              <w:r w:rsidR="00135A84" w:rsidRPr="00135A84">
                <w:rPr>
                  <w:color w:val="000000"/>
                </w:rPr>
                <w:t>Строительный аудит объектов</w:t>
              </w:r>
            </w:hyperlink>
          </w:p>
        </w:tc>
        <w:tc>
          <w:tcPr>
            <w:tcW w:w="2126" w:type="dxa"/>
          </w:tcPr>
          <w:p w:rsidR="00135A84" w:rsidRPr="00135A84" w:rsidRDefault="00135A84" w:rsidP="00135A84">
            <w:pPr>
              <w:jc w:val="center"/>
              <w:rPr>
                <w:color w:val="484848"/>
              </w:rPr>
            </w:pPr>
            <w:r w:rsidRPr="00976044">
              <w:rPr>
                <w:color w:val="000000"/>
              </w:rPr>
              <w:t>договорная</w:t>
            </w:r>
          </w:p>
        </w:tc>
      </w:tr>
      <w:tr w:rsidR="00135A84" w:rsidRPr="007D742B" w:rsidTr="0046240A">
        <w:tc>
          <w:tcPr>
            <w:tcW w:w="7650" w:type="dxa"/>
            <w:vAlign w:val="center"/>
          </w:tcPr>
          <w:p w:rsidR="00135A84" w:rsidRPr="00976044" w:rsidRDefault="00135A84" w:rsidP="00135A84">
            <w:pPr>
              <w:spacing w:after="300"/>
              <w:rPr>
                <w:color w:val="000000"/>
              </w:rPr>
            </w:pPr>
            <w:r w:rsidRPr="00976044">
              <w:rPr>
                <w:color w:val="000000"/>
              </w:rPr>
              <w:t>СУДЕБНАЯ СТРОИТЕЛЬНО – ТЕХНИЧЕСКАЯ ЭКСПЕРТИЗА</w:t>
            </w:r>
          </w:p>
        </w:tc>
        <w:tc>
          <w:tcPr>
            <w:tcW w:w="2126" w:type="dxa"/>
          </w:tcPr>
          <w:p w:rsidR="00135A84" w:rsidRPr="00135A84" w:rsidRDefault="00135A84" w:rsidP="00135A84">
            <w:pPr>
              <w:jc w:val="center"/>
              <w:rPr>
                <w:color w:val="484848"/>
              </w:rPr>
            </w:pPr>
            <w:r w:rsidRPr="00976044">
              <w:rPr>
                <w:color w:val="000000"/>
              </w:rPr>
              <w:t>от 25 000</w:t>
            </w:r>
          </w:p>
        </w:tc>
      </w:tr>
    </w:tbl>
    <w:p w:rsidR="00EA75B3" w:rsidRPr="003F7077" w:rsidRDefault="00EA75B3" w:rsidP="00135A84">
      <w:pPr>
        <w:spacing w:before="100" w:beforeAutospacing="1" w:after="100" w:afterAutospacing="1"/>
        <w:jc w:val="center"/>
        <w:outlineLvl w:val="2"/>
        <w:rPr>
          <w:sz w:val="26"/>
          <w:szCs w:val="26"/>
        </w:rPr>
      </w:pPr>
    </w:p>
    <w:sectPr w:rsidR="00EA75B3" w:rsidRPr="003F7077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864"/>
    <w:multiLevelType w:val="multilevel"/>
    <w:tmpl w:val="E9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95965"/>
    <w:multiLevelType w:val="multilevel"/>
    <w:tmpl w:val="91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0E9D"/>
    <w:multiLevelType w:val="multilevel"/>
    <w:tmpl w:val="995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C43CA"/>
    <w:multiLevelType w:val="multilevel"/>
    <w:tmpl w:val="C63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E4402"/>
    <w:multiLevelType w:val="multilevel"/>
    <w:tmpl w:val="814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D4221"/>
    <w:multiLevelType w:val="multilevel"/>
    <w:tmpl w:val="5A4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D3490"/>
    <w:multiLevelType w:val="multilevel"/>
    <w:tmpl w:val="927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3033A"/>
    <w:multiLevelType w:val="multilevel"/>
    <w:tmpl w:val="D5E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1A"/>
    <w:rsid w:val="0003345A"/>
    <w:rsid w:val="000C391A"/>
    <w:rsid w:val="00131807"/>
    <w:rsid w:val="00135A84"/>
    <w:rsid w:val="001E3633"/>
    <w:rsid w:val="003004B2"/>
    <w:rsid w:val="00381B4E"/>
    <w:rsid w:val="003F7077"/>
    <w:rsid w:val="00401EA6"/>
    <w:rsid w:val="00582721"/>
    <w:rsid w:val="007C3769"/>
    <w:rsid w:val="007C56C7"/>
    <w:rsid w:val="008C5E6F"/>
    <w:rsid w:val="00A761BF"/>
    <w:rsid w:val="00B24B82"/>
    <w:rsid w:val="00BC29CC"/>
    <w:rsid w:val="00C64D26"/>
    <w:rsid w:val="00D45553"/>
    <w:rsid w:val="00D772BB"/>
    <w:rsid w:val="00DD7466"/>
    <w:rsid w:val="00E1798D"/>
    <w:rsid w:val="00EA75B3"/>
    <w:rsid w:val="00E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64D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-expertiza.ru/stroitelno-texnicheskaya-ekspertiza/opredelenie-prichin-protechek" TargetMode="External"/><Relationship Id="rId13" Type="http://schemas.openxmlformats.org/officeDocument/2006/relationships/hyperlink" Target="http://www.agent-expertiza.ru/stroitelnyij-au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t-expertiza.ru/stroitelno-texnicheskaya-ekspertiza/ekspertiza-doma" TargetMode="External"/><Relationship Id="rId12" Type="http://schemas.openxmlformats.org/officeDocument/2006/relationships/hyperlink" Target="http://www.agent-expertiza.ru/obsledovanie-zdanij-i-sooruzhen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t-expertiza.ru/stroitelno-texnicheskaya-ekspertiza/ekspertiza-kvartiryi" TargetMode="External"/><Relationship Id="rId11" Type="http://schemas.openxmlformats.org/officeDocument/2006/relationships/hyperlink" Target="http://www.agent-expertiza.ru/stroitelno-texnicheskaya-ekspertiza/opredelenie-kapitalnosti-obekt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gent-expertiza.ru/stroitelno-texnicheskaya-ekspertiza/opredelenie-prigodnosti-k-prozhivan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nt-expertiza.ru/stroitelno-texnicheskaya-ekspertiza/kak-uzakonit-samovolnuyu-postroj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Светлана</cp:lastModifiedBy>
  <cp:revision>4</cp:revision>
  <cp:lastPrinted>2016-10-18T10:37:00Z</cp:lastPrinted>
  <dcterms:created xsi:type="dcterms:W3CDTF">2016-10-19T08:27:00Z</dcterms:created>
  <dcterms:modified xsi:type="dcterms:W3CDTF">2016-10-19T09:29:00Z</dcterms:modified>
</cp:coreProperties>
</file>