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9A" w:rsidRPr="0045799A" w:rsidRDefault="0045799A" w:rsidP="0045799A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45799A">
        <w:rPr>
          <w:rFonts w:eastAsiaTheme="minorHAnsi"/>
          <w:b/>
          <w:sz w:val="28"/>
          <w:szCs w:val="28"/>
          <w:lang w:eastAsia="en-US"/>
        </w:rPr>
        <w:t>Целевые показатели проекта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45799A" w:rsidRPr="0089072D" w:rsidTr="00ED73D1">
        <w:trPr>
          <w:trHeight w:val="959"/>
        </w:trPr>
        <w:tc>
          <w:tcPr>
            <w:tcW w:w="851" w:type="dxa"/>
            <w:vAlign w:val="center"/>
          </w:tcPr>
          <w:bookmarkEnd w:id="0"/>
          <w:p w:rsidR="0045799A" w:rsidRPr="0089072D" w:rsidRDefault="0045799A" w:rsidP="00ED73D1">
            <w:pPr>
              <w:spacing w:after="16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sz w:val="20"/>
                <w:szCs w:val="20"/>
                <w:lang w:eastAsia="en-US"/>
              </w:rPr>
              <w:t>Расширение портфеля программ профессионального обучения и ДПО по заявленной области подготовки</w:t>
            </w:r>
          </w:p>
        </w:tc>
        <w:tc>
          <w:tcPr>
            <w:tcW w:w="1276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sz w:val="20"/>
                <w:szCs w:val="20"/>
                <w:lang w:eastAsia="en-US"/>
              </w:rPr>
              <w:t>Плановое значение показателя на конец 2021 года</w:t>
            </w:r>
          </w:p>
        </w:tc>
      </w:tr>
      <w:tr w:rsidR="0045799A" w:rsidRPr="0089072D" w:rsidTr="00ED73D1">
        <w:trPr>
          <w:trHeight w:val="819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новых программ профессионального обучения (для лиц, не имеющих ПО), включая программы профессиональной подготовки, повышения квалификации и переподготовки, разработанных с учетом закупленного оборудования, ед. </w:t>
            </w:r>
          </w:p>
        </w:tc>
        <w:tc>
          <w:tcPr>
            <w:tcW w:w="1276" w:type="dxa"/>
          </w:tcPr>
          <w:p w:rsidR="0045799A" w:rsidRPr="0089072D" w:rsidRDefault="0045799A" w:rsidP="00ED73D1">
            <w:pPr>
              <w:tabs>
                <w:tab w:val="left" w:pos="1312"/>
              </w:tabs>
              <w:suppressAutoHyphens/>
              <w:spacing w:after="16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45799A" w:rsidRPr="0089072D" w:rsidTr="00ED73D1">
        <w:trPr>
          <w:trHeight w:val="536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3.1.2.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новых программ ДПО (для лиц, имеющих СПО или ВО), разработанных с учетом закупленного оборудования, ед. </w:t>
            </w:r>
          </w:p>
        </w:tc>
        <w:tc>
          <w:tcPr>
            <w:tcW w:w="1276" w:type="dxa"/>
          </w:tcPr>
          <w:p w:rsidR="0045799A" w:rsidRPr="0089072D" w:rsidRDefault="0045799A" w:rsidP="00ED73D1">
            <w:pPr>
              <w:tabs>
                <w:tab w:val="left" w:pos="1312"/>
              </w:tabs>
              <w:suppressAutoHyphens/>
              <w:spacing w:after="16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45799A" w:rsidRPr="0089072D" w:rsidTr="00ED73D1">
        <w:trPr>
          <w:trHeight w:val="506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3.1.3.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Количество дополнительных общеобразовательных программ для детей и взрослых, реализуемых с использованием материально</w:t>
            </w:r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softHyphen/>
              <w:t>-технической базы мастерской, ед.</w:t>
            </w:r>
          </w:p>
        </w:tc>
        <w:tc>
          <w:tcPr>
            <w:tcW w:w="1276" w:type="dxa"/>
          </w:tcPr>
          <w:p w:rsidR="0045799A" w:rsidRPr="0089072D" w:rsidRDefault="0045799A" w:rsidP="00ED73D1">
            <w:pPr>
              <w:tabs>
                <w:tab w:val="left" w:pos="1312"/>
              </w:tabs>
              <w:suppressAutoHyphens/>
              <w:spacing w:after="16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45799A" w:rsidRPr="0089072D" w:rsidTr="00ED73D1">
        <w:trPr>
          <w:trHeight w:val="229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Развитие материально-технической базы Организации</w:t>
            </w:r>
          </w:p>
        </w:tc>
        <w:tc>
          <w:tcPr>
            <w:tcW w:w="1276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5799A" w:rsidRPr="0089072D" w:rsidTr="00ED73D1">
        <w:trPr>
          <w:trHeight w:val="254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3.2.1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мастерских, созданных в Организации, ед. </w:t>
            </w:r>
          </w:p>
        </w:tc>
        <w:tc>
          <w:tcPr>
            <w:tcW w:w="1276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45799A" w:rsidRPr="0089072D" w:rsidTr="00ED73D1">
        <w:trPr>
          <w:trHeight w:val="416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3.2.2.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новых оборудованных рабочих мест, созданных в Организации, ед. </w:t>
            </w:r>
          </w:p>
        </w:tc>
        <w:tc>
          <w:tcPr>
            <w:tcW w:w="1276" w:type="dxa"/>
          </w:tcPr>
          <w:p w:rsidR="0045799A" w:rsidRPr="00CF2271" w:rsidRDefault="0045799A" w:rsidP="00ED73D1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227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45</w:t>
            </w:r>
          </w:p>
        </w:tc>
      </w:tr>
      <w:tr w:rsidR="0045799A" w:rsidRPr="0089072D" w:rsidTr="00ED73D1">
        <w:trPr>
          <w:trHeight w:val="431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3.2.3.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внедренных в учебный процесс единиц современного оборудования, ед. </w:t>
            </w:r>
          </w:p>
        </w:tc>
        <w:tc>
          <w:tcPr>
            <w:tcW w:w="1276" w:type="dxa"/>
          </w:tcPr>
          <w:p w:rsidR="0045799A" w:rsidRPr="00CF2271" w:rsidRDefault="0045799A" w:rsidP="00ED73D1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227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197</w:t>
            </w:r>
          </w:p>
        </w:tc>
      </w:tr>
      <w:tr w:rsidR="0045799A" w:rsidRPr="0089072D" w:rsidTr="00ED73D1">
        <w:trPr>
          <w:trHeight w:val="536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3.2.4.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внедренных в учебный процесс единиц оборудования, поддерживающего технологии электронного обучения и ДОТ, ед. </w:t>
            </w:r>
          </w:p>
        </w:tc>
        <w:tc>
          <w:tcPr>
            <w:tcW w:w="1276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F2271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73</w:t>
            </w:r>
          </w:p>
        </w:tc>
      </w:tr>
      <w:tr w:rsidR="0045799A" w:rsidRPr="0089072D" w:rsidTr="00ED73D1">
        <w:trPr>
          <w:trHeight w:val="431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3.2.5.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072D">
              <w:rPr>
                <w:sz w:val="20"/>
                <w:szCs w:val="20"/>
              </w:rPr>
              <w:t xml:space="preserve">Площадь отремонтированных учебных помещений, </w:t>
            </w:r>
            <w:proofErr w:type="spellStart"/>
            <w:r w:rsidRPr="0089072D">
              <w:rPr>
                <w:sz w:val="20"/>
                <w:szCs w:val="20"/>
              </w:rPr>
              <w:t>кв.м</w:t>
            </w:r>
            <w:proofErr w:type="spellEnd"/>
            <w:r w:rsidRPr="008907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1183</w:t>
            </w:r>
          </w:p>
        </w:tc>
      </w:tr>
      <w:tr w:rsidR="0045799A" w:rsidRPr="0089072D" w:rsidTr="00ED73D1">
        <w:trPr>
          <w:trHeight w:val="431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Распространение инновационных технологий и методик обучения</w:t>
            </w:r>
          </w:p>
        </w:tc>
        <w:tc>
          <w:tcPr>
            <w:tcW w:w="1276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5799A" w:rsidRPr="0089072D" w:rsidTr="00ED73D1">
        <w:trPr>
          <w:trHeight w:val="804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i/>
                <w:sz w:val="20"/>
                <w:szCs w:val="20"/>
                <w:lang w:eastAsia="en-US"/>
              </w:rPr>
              <w:t>3.3.1.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>Количество разработанных программ модулей, дисциплин по профессиям/ специальностям, входящим в заявленное направление создания мастерских, предусматривающих использование электронного обучения, ДОТ, ед.</w:t>
            </w:r>
            <w:r w:rsidRPr="008907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16</w:t>
            </w:r>
          </w:p>
        </w:tc>
      </w:tr>
      <w:tr w:rsidR="0045799A" w:rsidRPr="0089072D" w:rsidTr="00ED73D1">
        <w:trPr>
          <w:trHeight w:val="819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i/>
                <w:sz w:val="20"/>
                <w:szCs w:val="20"/>
                <w:lang w:eastAsia="en-US"/>
              </w:rPr>
              <w:t>3.3.2.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разработанных программ модулей, дисциплин по профессиям/ специальностям, входящим в заявленное направление создания мастерских, предусматривающих проведение демонстрационного экзамена, ед. 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4</w:t>
            </w:r>
          </w:p>
        </w:tc>
      </w:tr>
      <w:tr w:rsidR="0045799A" w:rsidRPr="0089072D" w:rsidTr="00ED73D1">
        <w:trPr>
          <w:trHeight w:val="551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i/>
                <w:sz w:val="20"/>
                <w:szCs w:val="20"/>
                <w:lang w:eastAsia="en-US"/>
              </w:rPr>
              <w:t>3.3.3.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разработанных программ профессионального обучения, ДПО по компетенциям, входящим в приоритетную группу, предусматривающих использование электронного обучения, ДОТ, ед. 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16</w:t>
            </w:r>
          </w:p>
        </w:tc>
      </w:tr>
      <w:tr w:rsidR="0045799A" w:rsidRPr="0089072D" w:rsidTr="00ED73D1">
        <w:trPr>
          <w:trHeight w:val="536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i/>
                <w:sz w:val="20"/>
                <w:szCs w:val="20"/>
                <w:lang w:eastAsia="en-US"/>
              </w:rPr>
              <w:t>3.3.4.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разработанных программ профессионального обучения, ДПО по компетенциям, входящим в приоритетную группу, предусматривающих проведение демонстрационного экзамена, ед. 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4</w:t>
            </w:r>
          </w:p>
        </w:tc>
      </w:tr>
      <w:tr w:rsidR="0045799A" w:rsidRPr="0089072D" w:rsidTr="00ED73D1">
        <w:trPr>
          <w:trHeight w:val="759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i/>
                <w:sz w:val="20"/>
                <w:szCs w:val="20"/>
                <w:lang w:eastAsia="en-US"/>
              </w:rPr>
              <w:t>3.3.5.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Численность выпускников Организации, обучавшихся по профессиям/ специальностям, входящим в заявленное направление создания мастерских, прошедших демонстрационный экзамен на оборудовании, закупленном для оснащения мастерских, чел.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0</w:t>
            </w:r>
          </w:p>
        </w:tc>
      </w:tr>
      <w:tr w:rsidR="0045799A" w:rsidRPr="0089072D" w:rsidTr="00ED73D1">
        <w:trPr>
          <w:trHeight w:val="744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i/>
                <w:sz w:val="20"/>
                <w:szCs w:val="20"/>
                <w:lang w:eastAsia="en-US"/>
              </w:rPr>
              <w:t>3.3.6.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Численность выпускников других организаций субъекта Российской Федерации, обучавшихся по профессиям/ специальностям, входящим в заявленное направление создания мастерских, прошедших демонстрационный экзамен на оборудовании, закупленном для оснащения мастерских, чел.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0</w:t>
            </w:r>
          </w:p>
        </w:tc>
      </w:tr>
      <w:tr w:rsidR="0045799A" w:rsidRPr="0089072D" w:rsidTr="00ED73D1">
        <w:trPr>
          <w:trHeight w:val="744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="Arial Unicode MS"/>
                <w:i/>
                <w:iCs/>
                <w:color w:val="000000"/>
                <w:sz w:val="20"/>
                <w:szCs w:val="20"/>
                <w:lang w:bidi="ru-RU"/>
              </w:rPr>
              <w:t>3.3.7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 xml:space="preserve">Численность выпускников Организации, обучавшихся по профессиям/ специальностям, входящим в заявленное направление создания мастерских, прошедших демонстрационный экзамен на оборудовании, закупленном для оснащения мастерских, и продемонстрировавших уровень, соответствующий стандартам </w:t>
            </w:r>
            <w:proofErr w:type="spellStart"/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Ворлдскиллс</w:t>
            </w:r>
            <w:proofErr w:type="spellEnd"/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, чел.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0</w:t>
            </w:r>
          </w:p>
        </w:tc>
      </w:tr>
      <w:tr w:rsidR="0045799A" w:rsidRPr="0089072D" w:rsidTr="00ED73D1">
        <w:trPr>
          <w:trHeight w:val="997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="Arial Unicode MS"/>
                <w:i/>
                <w:iCs/>
                <w:color w:val="000000"/>
                <w:sz w:val="20"/>
                <w:szCs w:val="20"/>
                <w:lang w:bidi="ru-RU"/>
              </w:rPr>
              <w:t>3.3.8.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 xml:space="preserve">Доля выпускников Организации, обучавшихся по профессиям/ специальностям, входящим в заявленное направление создания мастерских, прошедших демонстрационный экзамен на оборудовании, закупленном для оснащения мастерских, и продемонстрировавших уровень, соответствующий стандартам </w:t>
            </w:r>
            <w:proofErr w:type="spellStart"/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lastRenderedPageBreak/>
              <w:t>Ворлдскиллс</w:t>
            </w:r>
            <w:proofErr w:type="spellEnd"/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, в общей численности выпускников Организации, прошедших демонстрационный экзамен, %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lastRenderedPageBreak/>
              <w:t>0</w:t>
            </w:r>
          </w:p>
        </w:tc>
      </w:tr>
      <w:tr w:rsidR="0045799A" w:rsidRPr="0089072D" w:rsidTr="00ED73D1">
        <w:trPr>
          <w:trHeight w:val="1012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="Arial Unicode MS"/>
                <w:i/>
                <w:iCs/>
                <w:color w:val="000000"/>
                <w:sz w:val="20"/>
                <w:szCs w:val="20"/>
                <w:lang w:bidi="ru-RU"/>
              </w:rPr>
              <w:lastRenderedPageBreak/>
              <w:t>3.3.9.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Удельный вес численности студентов, обучающихся по профессиям / специальностям, входящим в заявленное направление создания мастерских, принявших участие в чемпионатах «Молодые профессионалы» (</w:t>
            </w:r>
            <w:proofErr w:type="spellStart"/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Ворлдскиллс</w:t>
            </w:r>
            <w:proofErr w:type="spellEnd"/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 xml:space="preserve"> Россия) по компетенциям, входящим в заявленную приоритетную группу компетенций, в общей численности студентов Организации %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3,8</w:t>
            </w:r>
          </w:p>
        </w:tc>
      </w:tr>
      <w:tr w:rsidR="0045799A" w:rsidRPr="0089072D" w:rsidTr="00ED73D1">
        <w:trPr>
          <w:trHeight w:val="685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spacing w:after="16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Влияние планируемых результатов проекта на развитие образовательной среды СПО в субъекте Российской Федерации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b/>
                <w:i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</w:tr>
      <w:tr w:rsidR="0045799A" w:rsidRPr="0089072D" w:rsidTr="00ED73D1">
        <w:trPr>
          <w:trHeight w:val="819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3.4.1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новых программ повышения квалификации для педагогических работников сторонних образовательных организаций, по внедрению современных программ и технологий обучения, разработанных с учетом закупленного оборудования, ед. 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10</w:t>
            </w:r>
          </w:p>
        </w:tc>
      </w:tr>
      <w:tr w:rsidR="0045799A" w:rsidRPr="0089072D" w:rsidTr="00ED73D1">
        <w:trPr>
          <w:trHeight w:val="819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3.4.2.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sz w:val="20"/>
                <w:szCs w:val="20"/>
              </w:rPr>
              <w:t xml:space="preserve">Количество педагогических работников сторонних организаций, прошедших повышение квалификации по разработанным программам повышения квалификации с использованием электронного обучения, ДОТ, чел. 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20</w:t>
            </w:r>
          </w:p>
        </w:tc>
      </w:tr>
      <w:tr w:rsidR="0045799A" w:rsidRPr="0089072D" w:rsidTr="00ED73D1">
        <w:trPr>
          <w:trHeight w:val="789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3.4.3.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color w:val="000000"/>
                <w:sz w:val="20"/>
                <w:szCs w:val="20"/>
                <w:lang w:eastAsia="en-US"/>
              </w:rPr>
              <w:t xml:space="preserve">Доля сотрудников организации, занятых в использовании и обслуживании материально-технической базы мастерских, прошедших повышение квалификации на присвоение статуса эксперта демонстрационного экзамена, %. 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30</w:t>
            </w:r>
          </w:p>
        </w:tc>
      </w:tr>
      <w:tr w:rsidR="0045799A" w:rsidRPr="0089072D" w:rsidTr="00ED73D1">
        <w:trPr>
          <w:trHeight w:val="491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3.4.4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9072D">
              <w:rPr>
                <w:rFonts w:eastAsia="Arial Unicode MS"/>
                <w:iCs/>
                <w:color w:val="000000"/>
                <w:sz w:val="20"/>
                <w:szCs w:val="20"/>
                <w:lang w:bidi="ru-RU"/>
              </w:rPr>
              <w:t>Численность граждан Российской Федерации, за исключением студентов, прошедших обучение на базе мастерских, чел.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0</w:t>
            </w:r>
          </w:p>
        </w:tc>
      </w:tr>
      <w:tr w:rsidR="0045799A" w:rsidRPr="0089072D" w:rsidTr="00ED73D1">
        <w:trPr>
          <w:trHeight w:val="610"/>
        </w:trPr>
        <w:tc>
          <w:tcPr>
            <w:tcW w:w="851" w:type="dxa"/>
            <w:vAlign w:val="center"/>
          </w:tcPr>
          <w:p w:rsidR="0045799A" w:rsidRPr="0089072D" w:rsidRDefault="0045799A" w:rsidP="00ED73D1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 w:rsidRPr="0089072D">
              <w:rPr>
                <w:rFonts w:eastAsiaTheme="minorHAnsi"/>
                <w:sz w:val="20"/>
                <w:szCs w:val="20"/>
                <w:lang w:eastAsia="en-US"/>
              </w:rPr>
              <w:t>3.4.5.</w:t>
            </w:r>
          </w:p>
        </w:tc>
        <w:tc>
          <w:tcPr>
            <w:tcW w:w="7229" w:type="dxa"/>
          </w:tcPr>
          <w:p w:rsidR="0045799A" w:rsidRPr="0089072D" w:rsidRDefault="0045799A" w:rsidP="00ED73D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eastAsia="en-US"/>
              </w:rPr>
            </w:pPr>
            <w:r w:rsidRPr="0089072D">
              <w:rPr>
                <w:rFonts w:eastAsia="Arial Unicode MS"/>
                <w:i/>
                <w:iCs/>
                <w:sz w:val="20"/>
                <w:szCs w:val="20"/>
                <w:lang w:bidi="ru-RU"/>
              </w:rPr>
              <w:t>Количество штатных сотрудников организации, имеющих свидетельство эксперта с правом оценки демонстрационного</w:t>
            </w:r>
            <w:r w:rsidRPr="0089072D">
              <w:rPr>
                <w:sz w:val="20"/>
                <w:szCs w:val="20"/>
                <w:lang w:eastAsia="en-US"/>
              </w:rPr>
              <w:t xml:space="preserve"> экзамена по компетенциям, соответствующим профилям мастерских, %.</w:t>
            </w:r>
          </w:p>
        </w:tc>
        <w:tc>
          <w:tcPr>
            <w:tcW w:w="1276" w:type="dxa"/>
          </w:tcPr>
          <w:p w:rsidR="0045799A" w:rsidRPr="00903B21" w:rsidRDefault="0045799A" w:rsidP="00ED73D1">
            <w:pPr>
              <w:spacing w:after="160"/>
              <w:jc w:val="both"/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</w:pPr>
            <w:r w:rsidRPr="00903B21">
              <w:rPr>
                <w:rFonts w:eastAsiaTheme="minorHAnsi"/>
                <w:color w:val="595959" w:themeColor="text1" w:themeTint="A6"/>
                <w:sz w:val="20"/>
                <w:szCs w:val="20"/>
                <w:lang w:eastAsia="en-US"/>
              </w:rPr>
              <w:t>8</w:t>
            </w:r>
          </w:p>
        </w:tc>
      </w:tr>
    </w:tbl>
    <w:p w:rsidR="0045799A" w:rsidRPr="0089072D" w:rsidRDefault="0045799A" w:rsidP="0045799A">
      <w:pPr>
        <w:spacing w:after="160" w:line="259" w:lineRule="auto"/>
        <w:rPr>
          <w:rFonts w:asciiTheme="minorHAnsi" w:eastAsiaTheme="minorHAnsi" w:hAnsiTheme="minorHAnsi" w:cstheme="minorBidi"/>
          <w:sz w:val="22"/>
          <w:lang w:eastAsia="en-US"/>
        </w:rPr>
      </w:pPr>
    </w:p>
    <w:p w:rsidR="004B682D" w:rsidRDefault="004B682D"/>
    <w:sectPr w:rsidR="004B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9A"/>
    <w:rsid w:val="0045799A"/>
    <w:rsid w:val="004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67E2D-8798-4551-B515-414511B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9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2021-03-04T08:55:00Z</dcterms:created>
  <dcterms:modified xsi:type="dcterms:W3CDTF">2021-03-04T08:56:00Z</dcterms:modified>
</cp:coreProperties>
</file>