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D5" w:rsidRPr="00B151D5" w:rsidRDefault="00B151D5" w:rsidP="00467FD5">
      <w:pPr>
        <w:widowControl/>
        <w:spacing w:before="100" w:beforeAutospacing="1" w:after="100" w:afterAutospacing="1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B151D5">
        <w:rPr>
          <w:rFonts w:eastAsia="Times New Roman" w:cs="Times New Roman"/>
          <w:b/>
          <w:bCs/>
          <w:kern w:val="36"/>
          <w:sz w:val="48"/>
          <w:szCs w:val="48"/>
        </w:rPr>
        <w:t>Как с января 2015 года изменится налог на имущество физических лиц</w:t>
      </w:r>
    </w:p>
    <w:p w:rsidR="00B151D5" w:rsidRPr="00B151D5" w:rsidRDefault="00B151D5" w:rsidP="00467FD5">
      <w:pPr>
        <w:widowControl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9 октября 2014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 xml:space="preserve">С 1 января 2015 года Налоговый кодекс РФ пополнится новой главой 32 под названием «Налог на имущество физических лиц», а закон РФ «О налогах на имущество физических лиц» утратит силу. Эти поправки внесены Федеральным законом </w:t>
      </w:r>
      <w:hyperlink r:id="rId5" w:tgtFrame="_blank" w:history="1">
        <w:r w:rsidRPr="00B151D5">
          <w:rPr>
            <w:rFonts w:eastAsia="Times New Roman" w:cs="Times New Roman"/>
            <w:color w:val="0000FF"/>
            <w:sz w:val="24"/>
            <w:szCs w:val="24"/>
            <w:u w:val="single"/>
          </w:rPr>
          <w:t>04.10.14 № 284-ФЗ</w:t>
        </w:r>
      </w:hyperlink>
      <w:r w:rsidRPr="00B151D5">
        <w:rPr>
          <w:rFonts w:eastAsia="Times New Roman" w:cs="Times New Roman"/>
          <w:sz w:val="24"/>
          <w:szCs w:val="24"/>
        </w:rPr>
        <w:t>. Изменения коснутся любого собственника, например, квартиры или гаража. В данной статье мы расскажем о том, что изменится для собственников имущества.</w:t>
      </w:r>
    </w:p>
    <w:p w:rsidR="00B151D5" w:rsidRPr="00B151D5" w:rsidRDefault="00B151D5" w:rsidP="00467FD5">
      <w:pPr>
        <w:widowControl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Материалы по теме</w:t>
      </w:r>
    </w:p>
    <w:p w:rsidR="00B151D5" w:rsidRPr="00B151D5" w:rsidRDefault="00B151D5" w:rsidP="00467FD5">
      <w:pPr>
        <w:widowControl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20 августа</w:t>
      </w:r>
    </w:p>
    <w:p w:rsidR="00B151D5" w:rsidRPr="00B151D5" w:rsidRDefault="00B151D5" w:rsidP="00467FD5">
      <w:pPr>
        <w:widowControl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 xml:space="preserve">Минфин напомнил порядок уплаты транспортного налога </w:t>
      </w:r>
      <w:hyperlink r:id="rId6" w:history="1">
        <w:r w:rsidRPr="00B151D5">
          <w:rPr>
            <w:rFonts w:eastAsia="Times New Roman" w:cs="Times New Roman"/>
            <w:color w:val="0000FF"/>
            <w:sz w:val="24"/>
            <w:szCs w:val="24"/>
            <w:u w:val="single"/>
          </w:rPr>
          <w:t>при смене собственника автомобиля</w:t>
        </w:r>
      </w:hyperlink>
    </w:p>
    <w:p w:rsidR="00B151D5" w:rsidRPr="00B151D5" w:rsidRDefault="00B151D5" w:rsidP="00467FD5">
      <w:pPr>
        <w:widowControl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17 июля</w:t>
      </w:r>
    </w:p>
    <w:p w:rsidR="00B151D5" w:rsidRPr="00B151D5" w:rsidRDefault="00B151D5" w:rsidP="00467FD5">
      <w:pPr>
        <w:widowControl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 xml:space="preserve">Глава 32 НК РФ. </w:t>
      </w:r>
      <w:hyperlink r:id="rId7" w:history="1">
        <w:r w:rsidRPr="00B151D5">
          <w:rPr>
            <w:rFonts w:eastAsia="Times New Roman" w:cs="Times New Roman"/>
            <w:color w:val="0000FF"/>
            <w:sz w:val="24"/>
            <w:szCs w:val="24"/>
            <w:u w:val="single"/>
          </w:rPr>
          <w:t>Налог на имущество физических лиц</w:t>
        </w:r>
      </w:hyperlink>
    </w:p>
    <w:p w:rsidR="00B151D5" w:rsidRPr="00B151D5" w:rsidRDefault="00B151D5" w:rsidP="00467FD5">
      <w:pPr>
        <w:widowControl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14 июля</w:t>
      </w:r>
    </w:p>
    <w:p w:rsidR="00B151D5" w:rsidRPr="00B151D5" w:rsidRDefault="00B151D5" w:rsidP="00467FD5">
      <w:pPr>
        <w:widowControl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 xml:space="preserve">ФНС разработала форму заявления о предоставлении физлицам </w:t>
      </w:r>
      <w:hyperlink r:id="rId8" w:history="1">
        <w:r w:rsidRPr="00B151D5">
          <w:rPr>
            <w:rFonts w:eastAsia="Times New Roman" w:cs="Times New Roman"/>
            <w:color w:val="0000FF"/>
            <w:sz w:val="24"/>
            <w:szCs w:val="24"/>
            <w:u w:val="single"/>
          </w:rPr>
          <w:t>льгот по имущественным налогам</w:t>
        </w:r>
      </w:hyperlink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B151D5">
        <w:rPr>
          <w:rFonts w:eastAsia="Times New Roman" w:cs="Times New Roman"/>
          <w:b/>
          <w:bCs/>
          <w:sz w:val="36"/>
          <w:szCs w:val="36"/>
        </w:rPr>
        <w:t>Вводная информация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 xml:space="preserve">Для начала напомним, что налог на имущество физических лиц существует и сейчас. Вопросы его начисления и уплаты регулируются законом РФ </w:t>
      </w:r>
      <w:hyperlink r:id="rId9" w:tgtFrame="_blank" w:history="1">
        <w:r w:rsidRPr="00B151D5">
          <w:rPr>
            <w:rFonts w:eastAsia="Times New Roman" w:cs="Times New Roman"/>
            <w:color w:val="0000FF"/>
            <w:sz w:val="24"/>
            <w:szCs w:val="24"/>
            <w:u w:val="single"/>
          </w:rPr>
          <w:t>от 09.12.91 № 2003-1</w:t>
        </w:r>
      </w:hyperlink>
      <w:r w:rsidRPr="00B151D5">
        <w:rPr>
          <w:rFonts w:eastAsia="Times New Roman" w:cs="Times New Roman"/>
          <w:sz w:val="24"/>
          <w:szCs w:val="24"/>
        </w:rPr>
        <w:t xml:space="preserve"> «О налогах на имущество физических лиц» (далее — Закон № 2003-1). Этим налогом облагается недвижимость, которая находится в собственности физических лиц (например, квартиры, жилые дома и дачи). Налоговая база для расчета этого налога определяется исходя из инвентаризационной стоимости имущества (п. 2 </w:t>
      </w:r>
      <w:hyperlink r:id="rId10" w:anchor="h153" w:tgtFrame="_blank" w:history="1">
        <w:r w:rsidRPr="00B151D5">
          <w:rPr>
            <w:rFonts w:eastAsia="Times New Roman" w:cs="Times New Roman"/>
            <w:color w:val="0000FF"/>
            <w:sz w:val="24"/>
            <w:szCs w:val="24"/>
            <w:u w:val="single"/>
          </w:rPr>
          <w:t>ст. 5</w:t>
        </w:r>
      </w:hyperlink>
      <w:r w:rsidRPr="00B151D5">
        <w:rPr>
          <w:rFonts w:eastAsia="Times New Roman" w:cs="Times New Roman"/>
          <w:sz w:val="24"/>
          <w:szCs w:val="24"/>
        </w:rPr>
        <w:t xml:space="preserve"> Закона 2003-1).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Однако с 1 января 2015 года Закон № 2003-1 отменяется, и начинает действовать новая глава Налогового кодекса «Налог на имущество физических лиц». Одним из главных изменений, введенных новой главой НК РФ, станет переход к исчислению налога на имущество не из инвентаризационной, а из кадастровой стоимости.</w:t>
      </w:r>
    </w:p>
    <w:p w:rsidR="00B151D5" w:rsidRPr="00B151D5" w:rsidRDefault="00B151D5" w:rsidP="00467FD5">
      <w:pPr>
        <w:widowControl/>
        <w:spacing w:beforeAutospacing="1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Кадастровая стоимость, как правило, максимально приближена к рыночной стоимости имущества (поскольку при ее установлении учитывается, например, сегмент недвижимости, расположение, площадь и год постройки). Инвентаризационная же стоимость может быть существенно ниже рыночной цены. Поэтому рассчитанный по кадастровой стоимости налог в большинстве случаев будет выше.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B151D5">
        <w:rPr>
          <w:rFonts w:eastAsia="Times New Roman" w:cs="Times New Roman"/>
          <w:b/>
          <w:bCs/>
          <w:sz w:val="36"/>
          <w:szCs w:val="36"/>
        </w:rPr>
        <w:t>Рассчитывать налог будут налоговые инспекции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 xml:space="preserve">Налог на имущество — местный налог, который будет регулироваться не только НК РФ, но и нормативными правовыми актами представительных органов муниципальных образований и городов федерального значения (Москвы, Санкт-Петербурга и Севастополя). Налоговики на местах будут рассчитывать сумму </w:t>
      </w:r>
      <w:proofErr w:type="gramStart"/>
      <w:r w:rsidRPr="00B151D5">
        <w:rPr>
          <w:rFonts w:eastAsia="Times New Roman" w:cs="Times New Roman"/>
          <w:sz w:val="24"/>
          <w:szCs w:val="24"/>
        </w:rPr>
        <w:t>налога</w:t>
      </w:r>
      <w:proofErr w:type="gramEnd"/>
      <w:r w:rsidRPr="00B151D5">
        <w:rPr>
          <w:rFonts w:eastAsia="Times New Roman" w:cs="Times New Roman"/>
          <w:sz w:val="24"/>
          <w:szCs w:val="24"/>
        </w:rPr>
        <w:t xml:space="preserve"> и направлять собственникам имущества уведомления об уплате. Поскольку подобные вопросы иногда встречаются, сразу отметим: никакой аналогии с НДФЛ здесь нет, соответственно, ни собственникам имущества, ни бухгалтерии по месту работу собственника заниматься расчетом налога не придется.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B151D5">
        <w:rPr>
          <w:rFonts w:eastAsia="Times New Roman" w:cs="Times New Roman"/>
          <w:b/>
          <w:bCs/>
          <w:sz w:val="36"/>
          <w:szCs w:val="36"/>
        </w:rPr>
        <w:t>Налог будет вводиться в действие субъектами РФ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Для введения налога каждый субъект РФ должен будет:</w:t>
      </w:r>
      <w:r w:rsidRPr="00B151D5">
        <w:rPr>
          <w:rFonts w:eastAsia="Times New Roman" w:cs="Times New Roman"/>
          <w:sz w:val="24"/>
          <w:szCs w:val="24"/>
        </w:rPr>
        <w:br/>
        <w:t>1) определить порядок определения кадастровой стоимости имущества;</w:t>
      </w:r>
      <w:r w:rsidRPr="00B151D5">
        <w:rPr>
          <w:rFonts w:eastAsia="Times New Roman" w:cs="Times New Roman"/>
          <w:sz w:val="24"/>
          <w:szCs w:val="24"/>
        </w:rPr>
        <w:br/>
        <w:t>2) установить единую дату, с которой на территории субъекта РФ налоговая база по налогу будет определяться  исходя из кадастровой стоимости.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До осуществления этих процедур для расчета налога будет применяться действующий сейчас порядок. То есть налог будет рассчитываться  исходя из инвентаризационной стоимости имущества (ст. 402 НК РФ).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При этом необходимо учитывать, что субъекты РФ вправе ввести новый порядок расчета налога уже с 1 января 2015 года. Однако для этого они должны принять и опубликовать соответствующий региональный закон не позднее 1 декабря 2014 года.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B151D5">
        <w:rPr>
          <w:rFonts w:eastAsia="Times New Roman" w:cs="Times New Roman"/>
          <w:b/>
          <w:bCs/>
          <w:sz w:val="36"/>
          <w:szCs w:val="36"/>
        </w:rPr>
        <w:t>Какое имущество будет облагаться налогом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Налог будет начисляться на перечисленное ниже имущество (ст. 401 НК РФ):</w:t>
      </w:r>
    </w:p>
    <w:p w:rsidR="00B151D5" w:rsidRPr="00B151D5" w:rsidRDefault="00B151D5" w:rsidP="00467FD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жилой дом;</w:t>
      </w:r>
    </w:p>
    <w:p w:rsidR="00B151D5" w:rsidRPr="00B151D5" w:rsidRDefault="00B151D5" w:rsidP="00467FD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жилое помещение (квартира, комната);</w:t>
      </w:r>
    </w:p>
    <w:p w:rsidR="00B151D5" w:rsidRPr="00B151D5" w:rsidRDefault="00B151D5" w:rsidP="00467FD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гараж, машино-место;</w:t>
      </w:r>
    </w:p>
    <w:p w:rsidR="00B151D5" w:rsidRPr="00B151D5" w:rsidRDefault="00B151D5" w:rsidP="00467FD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единый недвижимый комплекс;</w:t>
      </w:r>
    </w:p>
    <w:p w:rsidR="00B151D5" w:rsidRPr="00B151D5" w:rsidRDefault="00B151D5" w:rsidP="00467FD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объект незавершенного строительства;</w:t>
      </w:r>
    </w:p>
    <w:p w:rsidR="00B151D5" w:rsidRPr="00B151D5" w:rsidRDefault="00B151D5" w:rsidP="00467FD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иные здание, строение, сооружение, помещение.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При этом законодатель установил, что жилые строения, которые расположены на земельных участках, предоставленных для ведения личного подсобного, дачного хозяйства, огородничества, садоводства, индивидуального жилищного строительства будут относиться к жилым домам.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Для сравнения заметим, что в действующем перечне объектов налогообложения не упоминаются, например, машино-места, объекты незавершенного строительства и единые недвижимые комплексы (</w:t>
      </w:r>
      <w:hyperlink r:id="rId11" w:anchor="h19" w:tgtFrame="_blank" w:history="1">
        <w:r w:rsidRPr="00B151D5">
          <w:rPr>
            <w:rFonts w:eastAsia="Times New Roman" w:cs="Times New Roman"/>
            <w:color w:val="0000FF"/>
            <w:sz w:val="24"/>
            <w:szCs w:val="24"/>
            <w:u w:val="single"/>
          </w:rPr>
          <w:t>ст. 2</w:t>
        </w:r>
      </w:hyperlink>
      <w:r w:rsidRPr="00B151D5">
        <w:rPr>
          <w:rFonts w:eastAsia="Times New Roman" w:cs="Times New Roman"/>
          <w:sz w:val="24"/>
          <w:szCs w:val="24"/>
        </w:rPr>
        <w:t xml:space="preserve"> Закона № 2003-1). То есть перечень налогооблагаемых объектов расширен.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B151D5">
        <w:rPr>
          <w:rFonts w:eastAsia="Times New Roman" w:cs="Times New Roman"/>
          <w:b/>
          <w:bCs/>
          <w:sz w:val="36"/>
          <w:szCs w:val="36"/>
        </w:rPr>
        <w:t>Налоговая база и налоговые вычеты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 xml:space="preserve">Налоговая база по налогу будет определяться в отношении каждого объекта недвижимости как его кадастровая стоимость, указанная в государственном кадастре недвижимости. Однако новой главой НК РФ предусмотрены налоговые вычеты. По сути, они </w:t>
      </w:r>
      <w:proofErr w:type="gramStart"/>
      <w:r w:rsidRPr="00B151D5">
        <w:rPr>
          <w:rFonts w:eastAsia="Times New Roman" w:cs="Times New Roman"/>
          <w:sz w:val="24"/>
          <w:szCs w:val="24"/>
        </w:rPr>
        <w:t>представляют из себя</w:t>
      </w:r>
      <w:proofErr w:type="gramEnd"/>
      <w:r w:rsidRPr="00B151D5">
        <w:rPr>
          <w:rFonts w:eastAsia="Times New Roman" w:cs="Times New Roman"/>
          <w:sz w:val="24"/>
          <w:szCs w:val="24"/>
        </w:rPr>
        <w:t xml:space="preserve"> значения, на которые уменьшается кадастровая стоимость имущества (ст. 403 НК РФ). Эти значения мы обобщили в таблице.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b/>
          <w:bCs/>
          <w:i/>
          <w:iCs/>
          <w:sz w:val="24"/>
          <w:szCs w:val="24"/>
        </w:rPr>
        <w:t>Уменьшение кадастровой стоимости при расчете налоговой базы (налоговые вычеты)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9"/>
        <w:gridCol w:w="4636"/>
      </w:tblGrid>
      <w:tr w:rsidR="00B151D5" w:rsidRPr="00B151D5" w:rsidTr="00B151D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D5" w:rsidRPr="00B151D5" w:rsidRDefault="00B151D5" w:rsidP="00467FD5">
            <w:pPr>
              <w:widowControl/>
              <w:spacing w:before="100" w:beforeAutospacing="1" w:after="100" w:afterAutospacing="1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151D5">
              <w:rPr>
                <w:rFonts w:eastAsia="Times New Roman" w:cs="Times New Roman"/>
                <w:b/>
                <w:bCs/>
                <w:sz w:val="24"/>
                <w:szCs w:val="24"/>
              </w:rPr>
              <w:t>Объект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D5" w:rsidRPr="00B151D5" w:rsidRDefault="00B151D5" w:rsidP="00467FD5">
            <w:pPr>
              <w:widowControl/>
              <w:spacing w:before="100" w:beforeAutospacing="1" w:after="100" w:afterAutospacing="1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151D5">
              <w:rPr>
                <w:rFonts w:eastAsia="Times New Roman" w:cs="Times New Roman"/>
                <w:b/>
                <w:bCs/>
                <w:sz w:val="24"/>
                <w:szCs w:val="24"/>
              </w:rPr>
              <w:t>Уменьшение кадастровой стоимости</w:t>
            </w:r>
          </w:p>
        </w:tc>
      </w:tr>
      <w:tr w:rsidR="00B151D5" w:rsidRPr="00B151D5" w:rsidTr="00B15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D5" w:rsidRPr="00B151D5" w:rsidRDefault="00B151D5" w:rsidP="00467FD5">
            <w:pPr>
              <w:widowControl/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151D5">
              <w:rPr>
                <w:rFonts w:eastAsia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D5" w:rsidRPr="00B151D5" w:rsidRDefault="00B151D5" w:rsidP="00467FD5">
            <w:pPr>
              <w:widowControl/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151D5">
              <w:rPr>
                <w:rFonts w:eastAsia="Times New Roman" w:cs="Times New Roman"/>
                <w:sz w:val="24"/>
                <w:szCs w:val="24"/>
              </w:rPr>
              <w:t>Уменьшается на величину кадастровой стоимости 20-ти кв. метров  общей площади этой квартиры.</w:t>
            </w:r>
          </w:p>
        </w:tc>
      </w:tr>
      <w:tr w:rsidR="00B151D5" w:rsidRPr="00B151D5" w:rsidTr="00B15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D5" w:rsidRPr="00B151D5" w:rsidRDefault="00B151D5" w:rsidP="00467FD5">
            <w:pPr>
              <w:widowControl/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151D5">
              <w:rPr>
                <w:rFonts w:eastAsia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D5" w:rsidRPr="00B151D5" w:rsidRDefault="00B151D5" w:rsidP="00467FD5">
            <w:pPr>
              <w:widowControl/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151D5">
              <w:rPr>
                <w:rFonts w:eastAsia="Times New Roman" w:cs="Times New Roman"/>
                <w:sz w:val="24"/>
                <w:szCs w:val="24"/>
              </w:rPr>
              <w:t>Уменьшается на величину кадастровой стоимости 10-ти кв. метров площади этой комнаты.</w:t>
            </w:r>
          </w:p>
        </w:tc>
      </w:tr>
      <w:tr w:rsidR="00B151D5" w:rsidRPr="00B151D5" w:rsidTr="00B15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D5" w:rsidRPr="00B151D5" w:rsidRDefault="00B151D5" w:rsidP="00467FD5">
            <w:pPr>
              <w:widowControl/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151D5">
              <w:rPr>
                <w:rFonts w:eastAsia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D5" w:rsidRPr="00B151D5" w:rsidRDefault="00B151D5" w:rsidP="00467FD5">
            <w:pPr>
              <w:widowControl/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151D5">
              <w:rPr>
                <w:rFonts w:eastAsia="Times New Roman" w:cs="Times New Roman"/>
                <w:sz w:val="24"/>
                <w:szCs w:val="24"/>
              </w:rPr>
              <w:t>Уменьшается на величину кадастровой стоимости 50-ти кв. метров общей площади этого жилого дома.</w:t>
            </w:r>
          </w:p>
        </w:tc>
      </w:tr>
      <w:tr w:rsidR="00B151D5" w:rsidRPr="00B151D5" w:rsidTr="00B151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D5" w:rsidRPr="00B151D5" w:rsidRDefault="00B151D5" w:rsidP="00467FD5">
            <w:pPr>
              <w:widowControl/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151D5">
              <w:rPr>
                <w:rFonts w:eastAsia="Times New Roman" w:cs="Times New Roman"/>
                <w:sz w:val="24"/>
                <w:szCs w:val="24"/>
              </w:rPr>
              <w:t>Единый недвижимый комплекс, в состав которого входит хотя бы одно жилое помещение (жилой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D5" w:rsidRPr="00B151D5" w:rsidRDefault="00B151D5" w:rsidP="00467FD5">
            <w:pPr>
              <w:widowControl/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151D5">
              <w:rPr>
                <w:rFonts w:eastAsia="Times New Roman" w:cs="Times New Roman"/>
                <w:sz w:val="24"/>
                <w:szCs w:val="24"/>
              </w:rPr>
              <w:t>Уменьшается на один миллион рублей.</w:t>
            </w:r>
          </w:p>
        </w:tc>
      </w:tr>
    </w:tbl>
    <w:p w:rsidR="00B151D5" w:rsidRPr="00B151D5" w:rsidRDefault="00B151D5" w:rsidP="00467FD5">
      <w:pPr>
        <w:widowControl/>
        <w:spacing w:beforeAutospacing="1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b/>
          <w:bCs/>
          <w:sz w:val="24"/>
          <w:szCs w:val="24"/>
        </w:rPr>
        <w:t>Пример</w:t>
      </w:r>
      <w:proofErr w:type="gramStart"/>
      <w:r w:rsidRPr="00B151D5">
        <w:rPr>
          <w:rFonts w:eastAsia="Times New Roman" w:cs="Times New Roman"/>
          <w:sz w:val="24"/>
          <w:szCs w:val="24"/>
        </w:rPr>
        <w:br/>
        <w:t>П</w:t>
      </w:r>
      <w:proofErr w:type="gramEnd"/>
      <w:r w:rsidRPr="00B151D5">
        <w:rPr>
          <w:rFonts w:eastAsia="Times New Roman" w:cs="Times New Roman"/>
          <w:sz w:val="24"/>
          <w:szCs w:val="24"/>
        </w:rPr>
        <w:t>редположим, что кадастровая стоимость квартиры составляет 3 330 000 рублей. Кадастровая стоимость квадратного метра данной квартиры — 58 421 рубль. В таком случае размер налогового вычета составит 1 168 420 руб. (58 421 руб. × 20). В результате налоговая база будет равняться 2 161 580 руб. (3 330 000 руб. – 1 168 420 руб.).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Добавим, что размер обозначенных налоговых вычетов может увеличиваться местными властями. В результате увеличения вычетов налоговая база может принимать даже нулевое значение.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B151D5">
        <w:rPr>
          <w:rFonts w:eastAsia="Times New Roman" w:cs="Times New Roman"/>
          <w:b/>
          <w:bCs/>
          <w:sz w:val="36"/>
          <w:szCs w:val="36"/>
        </w:rPr>
        <w:t>Ставки налога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Новой статьей 406 НК РФ определены налоговые ставки по налогу на имущество, который рассчитывается исходя из кадастровой стоимости:</w:t>
      </w:r>
    </w:p>
    <w:p w:rsidR="00B151D5" w:rsidRPr="00B151D5" w:rsidRDefault="00B151D5" w:rsidP="00467FD5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до 0,1% — для жилых домов и жилых помещений, недостроенных жилых домов, гаражей и машино-мест;</w:t>
      </w:r>
    </w:p>
    <w:p w:rsidR="00B151D5" w:rsidRPr="00B151D5" w:rsidRDefault="00B151D5" w:rsidP="00467FD5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до 2% — для административно-деловых и торговых центров, а также нежилых помещений, которые используются для размещения офисов, торговых объектов, объектов общественного питания и бытового обслуживания, а также объектов, кадастровая стоимость которых превышает 300 млн. рублей;</w:t>
      </w:r>
    </w:p>
    <w:p w:rsidR="00B151D5" w:rsidRPr="00B151D5" w:rsidRDefault="00B151D5" w:rsidP="00467FD5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до 0,5 % — для прочих объектов налогообложения.</w:t>
      </w:r>
    </w:p>
    <w:p w:rsidR="00B151D5" w:rsidRPr="00B151D5" w:rsidRDefault="00B151D5" w:rsidP="00467FD5">
      <w:pPr>
        <w:widowControl/>
        <w:spacing w:beforeAutospacing="1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b/>
          <w:bCs/>
          <w:sz w:val="24"/>
          <w:szCs w:val="24"/>
        </w:rPr>
        <w:t>Пример</w:t>
      </w:r>
      <w:proofErr w:type="gramStart"/>
      <w:r w:rsidRPr="00B151D5">
        <w:rPr>
          <w:rFonts w:eastAsia="Times New Roman" w:cs="Times New Roman"/>
          <w:sz w:val="24"/>
          <w:szCs w:val="24"/>
        </w:rPr>
        <w:br/>
        <w:t>Е</w:t>
      </w:r>
      <w:proofErr w:type="gramEnd"/>
      <w:r w:rsidRPr="00B151D5">
        <w:rPr>
          <w:rFonts w:eastAsia="Times New Roman" w:cs="Times New Roman"/>
          <w:sz w:val="24"/>
          <w:szCs w:val="24"/>
        </w:rPr>
        <w:t>сли кадастровая стоимость квартиры составляет 3 330 000 рублей, кадастровая стоимость квадратного метра данной квартиры — 58 421 рубль, а налоговая база после использования вычета —2 161 580 рублей, сумма налога к уплате составит 2 161,58 руб. (2 161 580 руб. × 0,1 %).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br/>
        <w:t>При этом муниципальные образования вправе изменять ставку 0,1%, установленную для квартир, домов и гаражей. Местные власти могут повысить данную ставку, но не более</w:t>
      </w:r>
      <w:proofErr w:type="gramStart"/>
      <w:r w:rsidRPr="00B151D5">
        <w:rPr>
          <w:rFonts w:eastAsia="Times New Roman" w:cs="Times New Roman"/>
          <w:sz w:val="24"/>
          <w:szCs w:val="24"/>
        </w:rPr>
        <w:t>,</w:t>
      </w:r>
      <w:proofErr w:type="gramEnd"/>
      <w:r w:rsidRPr="00B151D5">
        <w:rPr>
          <w:rFonts w:eastAsia="Times New Roman" w:cs="Times New Roman"/>
          <w:sz w:val="24"/>
          <w:szCs w:val="24"/>
        </w:rPr>
        <w:t xml:space="preserve"> чем в три раза, или понизить ее до нулевого значения.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 xml:space="preserve">Также допускается установление дифференцированных ставок в зависимости </w:t>
      </w:r>
      <w:proofErr w:type="gramStart"/>
      <w:r w:rsidRPr="00B151D5">
        <w:rPr>
          <w:rFonts w:eastAsia="Times New Roman" w:cs="Times New Roman"/>
          <w:sz w:val="24"/>
          <w:szCs w:val="24"/>
        </w:rPr>
        <w:t>от</w:t>
      </w:r>
      <w:proofErr w:type="gramEnd"/>
      <w:r w:rsidRPr="00B151D5">
        <w:rPr>
          <w:rFonts w:eastAsia="Times New Roman" w:cs="Times New Roman"/>
          <w:sz w:val="24"/>
          <w:szCs w:val="24"/>
        </w:rPr>
        <w:t>:</w:t>
      </w:r>
    </w:p>
    <w:p w:rsidR="00B151D5" w:rsidRPr="00B151D5" w:rsidRDefault="00B151D5" w:rsidP="00467FD5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кадастровой или суммарной инвентаризационной стоимости объекта;</w:t>
      </w:r>
    </w:p>
    <w:p w:rsidR="00B151D5" w:rsidRPr="00B151D5" w:rsidRDefault="00B151D5" w:rsidP="00467FD5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вида объекта;</w:t>
      </w:r>
    </w:p>
    <w:p w:rsidR="00B151D5" w:rsidRPr="00B151D5" w:rsidRDefault="00B151D5" w:rsidP="00467FD5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места его нахождения;</w:t>
      </w:r>
    </w:p>
    <w:p w:rsidR="00B151D5" w:rsidRPr="00B151D5" w:rsidRDefault="00B151D5" w:rsidP="00467FD5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видов территориальных зон, в границах которых расположен объект налогообложения.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B151D5">
        <w:rPr>
          <w:rFonts w:eastAsia="Times New Roman" w:cs="Times New Roman"/>
          <w:b/>
          <w:bCs/>
          <w:sz w:val="36"/>
          <w:szCs w:val="36"/>
        </w:rPr>
        <w:t>Налоговые льготы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 xml:space="preserve">Законодатель сохранил налоговые льготы по налогу на имущество физлиц (ст. 407 НК РФ, </w:t>
      </w:r>
      <w:hyperlink r:id="rId12" w:anchor="h68" w:tgtFrame="_blank" w:history="1">
        <w:r w:rsidRPr="00B151D5">
          <w:rPr>
            <w:rFonts w:eastAsia="Times New Roman" w:cs="Times New Roman"/>
            <w:color w:val="0000FF"/>
            <w:sz w:val="24"/>
            <w:szCs w:val="24"/>
            <w:u w:val="single"/>
          </w:rPr>
          <w:t>ст. 4</w:t>
        </w:r>
      </w:hyperlink>
      <w:r w:rsidRPr="00B151D5">
        <w:rPr>
          <w:rFonts w:eastAsia="Times New Roman" w:cs="Times New Roman"/>
          <w:sz w:val="24"/>
          <w:szCs w:val="24"/>
        </w:rPr>
        <w:t xml:space="preserve"> Закона № 2003-1). Так, по-прежнему, не будут уплачивать имущественный налог инвалиды I и II групп, а также инвалиды с детства. Заметим, что налоговая льгота представляется в отношении одного объекта налогообложения каждого вида по выбору налогоплательщика. Для получения льготы потребуется до 1 ноября уведомить налоговый орган об объектах, в отношении которых будет применяться налоговая льгота. Если собственник не направит в инспекцию такое уведомление, то налоговая льгота будет предоставлена в отношении объекта с максимальной суммой налога.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B151D5">
        <w:rPr>
          <w:rFonts w:eastAsia="Times New Roman" w:cs="Times New Roman"/>
          <w:b/>
          <w:bCs/>
          <w:sz w:val="36"/>
          <w:szCs w:val="36"/>
        </w:rPr>
        <w:t>Срок уплаты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Налог потребуется уплачивать в срок не позднее 1 октября года, следующего за истекшим налоговым периодом. Учитывая, что налоговым периодом является календарный год, то в тех субъектах, где налог начнет действовать с 1 января 2015 года, впервые уплатить налог, рассчитанный по новым правилам, потребуется не позднее 1 октября 2016 года.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B151D5">
        <w:rPr>
          <w:rFonts w:eastAsia="Times New Roman" w:cs="Times New Roman"/>
          <w:b/>
          <w:bCs/>
          <w:sz w:val="36"/>
          <w:szCs w:val="36"/>
        </w:rPr>
        <w:t xml:space="preserve">Правила расчета налога </w:t>
      </w:r>
      <w:proofErr w:type="gramStart"/>
      <w:r w:rsidRPr="00B151D5">
        <w:rPr>
          <w:rFonts w:eastAsia="Times New Roman" w:cs="Times New Roman"/>
          <w:b/>
          <w:bCs/>
          <w:sz w:val="36"/>
          <w:szCs w:val="36"/>
        </w:rPr>
        <w:t>в первые</w:t>
      </w:r>
      <w:proofErr w:type="gramEnd"/>
      <w:r w:rsidRPr="00B151D5">
        <w:rPr>
          <w:rFonts w:eastAsia="Times New Roman" w:cs="Times New Roman"/>
          <w:b/>
          <w:bCs/>
          <w:sz w:val="36"/>
          <w:szCs w:val="36"/>
        </w:rPr>
        <w:t xml:space="preserve"> 4 года и другие переходные положения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 xml:space="preserve">Установлено, что начиная с 1 января 2020 года, налоговая база по налогу на имущество физических лиц будет исчисляться на всей территории </w:t>
      </w:r>
      <w:proofErr w:type="gramStart"/>
      <w:r w:rsidRPr="00B151D5">
        <w:rPr>
          <w:rFonts w:eastAsia="Times New Roman" w:cs="Times New Roman"/>
          <w:sz w:val="24"/>
          <w:szCs w:val="24"/>
        </w:rPr>
        <w:t>РФ</w:t>
      </w:r>
      <w:proofErr w:type="gramEnd"/>
      <w:r w:rsidRPr="00B151D5">
        <w:rPr>
          <w:rFonts w:eastAsia="Times New Roman" w:cs="Times New Roman"/>
          <w:sz w:val="24"/>
          <w:szCs w:val="24"/>
        </w:rPr>
        <w:t xml:space="preserve"> только исходя из кадастровой стоимости.</w:t>
      </w:r>
      <w:r w:rsidRPr="00B151D5">
        <w:rPr>
          <w:rFonts w:eastAsia="Times New Roman" w:cs="Times New Roman"/>
          <w:sz w:val="24"/>
          <w:szCs w:val="24"/>
        </w:rPr>
        <w:br/>
        <w:t>Законодатель также ввел норму, которая не должна допустить резкого увеличения налоговой нагрузки.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Если сумма налога, рассчитанная «по-новому» окажется выше суммы налога, рассчитанной «по-старому», то в первые четыре года после введения в регионе новых правил, налог будет рассчитываться по следующей формуле:</w:t>
      </w:r>
    </w:p>
    <w:p w:rsidR="00B151D5" w:rsidRPr="00B151D5" w:rsidRDefault="00B151D5" w:rsidP="00467FD5">
      <w:pPr>
        <w:widowControl/>
        <w:spacing w:beforeAutospacing="1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b/>
          <w:bCs/>
          <w:sz w:val="24"/>
          <w:szCs w:val="24"/>
        </w:rPr>
        <w:t>Н = (Н1 — Н2) x</w:t>
      </w:r>
      <w:proofErr w:type="gramStart"/>
      <w:r w:rsidRPr="00B151D5">
        <w:rPr>
          <w:rFonts w:eastAsia="Times New Roman" w:cs="Times New Roman"/>
          <w:b/>
          <w:bCs/>
          <w:sz w:val="24"/>
          <w:szCs w:val="24"/>
        </w:rPr>
        <w:t xml:space="preserve"> К</w:t>
      </w:r>
      <w:proofErr w:type="gramEnd"/>
      <w:r w:rsidRPr="00B151D5">
        <w:rPr>
          <w:rFonts w:eastAsia="Times New Roman" w:cs="Times New Roman"/>
          <w:b/>
          <w:bCs/>
          <w:sz w:val="24"/>
          <w:szCs w:val="24"/>
        </w:rPr>
        <w:t> + Н2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Н — сумма налога к уплате;</w:t>
      </w:r>
      <w:r w:rsidRPr="00B151D5">
        <w:rPr>
          <w:rFonts w:eastAsia="Times New Roman" w:cs="Times New Roman"/>
          <w:sz w:val="24"/>
          <w:szCs w:val="24"/>
        </w:rPr>
        <w:br/>
        <w:t>Н</w:t>
      </w:r>
      <w:proofErr w:type="gramStart"/>
      <w:r w:rsidRPr="00B151D5">
        <w:rPr>
          <w:rFonts w:eastAsia="Times New Roman" w:cs="Times New Roman"/>
          <w:sz w:val="24"/>
          <w:szCs w:val="24"/>
        </w:rPr>
        <w:t>1</w:t>
      </w:r>
      <w:proofErr w:type="gramEnd"/>
      <w:r w:rsidRPr="00B151D5">
        <w:rPr>
          <w:rFonts w:eastAsia="Times New Roman" w:cs="Times New Roman"/>
          <w:sz w:val="24"/>
          <w:szCs w:val="24"/>
        </w:rPr>
        <w:t> — сумма налога, рассчитанная «по-новому» (то есть из кадастровой стоимости);</w:t>
      </w:r>
      <w:r w:rsidRPr="00B151D5">
        <w:rPr>
          <w:rFonts w:eastAsia="Times New Roman" w:cs="Times New Roman"/>
          <w:sz w:val="24"/>
          <w:szCs w:val="24"/>
        </w:rPr>
        <w:br/>
        <w:t>Н2 — сумма налога, рассчитанная «по-старому» (то есть из инвентаризационной стоимости);</w:t>
      </w:r>
      <w:r w:rsidRPr="00B151D5">
        <w:rPr>
          <w:rFonts w:eastAsia="Times New Roman" w:cs="Times New Roman"/>
          <w:sz w:val="24"/>
          <w:szCs w:val="24"/>
        </w:rPr>
        <w:br/>
        <w:t>К —  понижающий коэффициент.</w:t>
      </w:r>
      <w:r w:rsidRPr="00B151D5">
        <w:rPr>
          <w:rFonts w:eastAsia="Times New Roman" w:cs="Times New Roman"/>
          <w:sz w:val="24"/>
          <w:szCs w:val="24"/>
        </w:rPr>
        <w:br/>
        <w:t>Коэффициент составит:</w:t>
      </w:r>
    </w:p>
    <w:p w:rsidR="00B151D5" w:rsidRPr="00B151D5" w:rsidRDefault="00B151D5" w:rsidP="00467FD5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0,2 — первый год;</w:t>
      </w:r>
    </w:p>
    <w:p w:rsidR="00B151D5" w:rsidRPr="00B151D5" w:rsidRDefault="00B151D5" w:rsidP="00467FD5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0,4 — второго год;</w:t>
      </w:r>
    </w:p>
    <w:p w:rsidR="00B151D5" w:rsidRPr="00B151D5" w:rsidRDefault="00B151D5" w:rsidP="00467FD5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0,6 — третий год;</w:t>
      </w:r>
    </w:p>
    <w:p w:rsidR="00B151D5" w:rsidRPr="00B151D5" w:rsidRDefault="00B151D5" w:rsidP="00467FD5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0,8 — четвертый год.</w:t>
      </w:r>
    </w:p>
    <w:p w:rsidR="00B151D5" w:rsidRPr="00B151D5" w:rsidRDefault="00B151D5" w:rsidP="00467FD5">
      <w:pPr>
        <w:widowControl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r w:rsidRPr="00B151D5">
        <w:rPr>
          <w:rFonts w:eastAsia="Times New Roman" w:cs="Times New Roman"/>
          <w:sz w:val="24"/>
          <w:szCs w:val="24"/>
        </w:rPr>
        <w:t>На пятый год, после того, как в регионе будет введен новый порядок расчета, налог будет исчисляться так, как было описано в приведенных выше примерах.</w:t>
      </w:r>
    </w:p>
    <w:p w:rsidR="00ED689F" w:rsidRDefault="00ED689F" w:rsidP="00467FD5">
      <w:pPr>
        <w:jc w:val="left"/>
      </w:pPr>
    </w:p>
    <w:sectPr w:rsidR="00ED689F" w:rsidSect="00ED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FB5"/>
    <w:multiLevelType w:val="multilevel"/>
    <w:tmpl w:val="DF7A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A622F"/>
    <w:multiLevelType w:val="multilevel"/>
    <w:tmpl w:val="FFE4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9314D"/>
    <w:multiLevelType w:val="multilevel"/>
    <w:tmpl w:val="2C3A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54382"/>
    <w:multiLevelType w:val="multilevel"/>
    <w:tmpl w:val="1600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151D5"/>
    <w:rsid w:val="00460565"/>
    <w:rsid w:val="00467FD5"/>
    <w:rsid w:val="00892C8E"/>
    <w:rsid w:val="00990D60"/>
    <w:rsid w:val="00B151D5"/>
    <w:rsid w:val="00E8531E"/>
    <w:rsid w:val="00ED689F"/>
    <w:rsid w:val="00F0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65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6056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151D5"/>
    <w:pPr>
      <w:widowControl/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60565"/>
    <w:rPr>
      <w:b/>
      <w:bCs/>
    </w:rPr>
  </w:style>
  <w:style w:type="paragraph" w:styleId="a4">
    <w:name w:val="No Spacing"/>
    <w:uiPriority w:val="1"/>
    <w:qFormat/>
    <w:rsid w:val="0046056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0565"/>
    <w:pPr>
      <w:ind w:left="720"/>
      <w:contextualSpacing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B151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markgrey">
    <w:name w:val="itemmarkgrey"/>
    <w:basedOn w:val="a0"/>
    <w:rsid w:val="00B151D5"/>
  </w:style>
  <w:style w:type="paragraph" w:styleId="a6">
    <w:name w:val="Normal (Web)"/>
    <w:basedOn w:val="a"/>
    <w:uiPriority w:val="99"/>
    <w:unhideWhenUsed/>
    <w:rsid w:val="00B151D5"/>
    <w:pPr>
      <w:widowControl/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151D5"/>
    <w:rPr>
      <w:color w:val="0000FF"/>
      <w:u w:val="single"/>
    </w:rPr>
  </w:style>
  <w:style w:type="character" w:customStyle="1" w:styleId="b-nowrap">
    <w:name w:val="b-nowrap"/>
    <w:basedOn w:val="a0"/>
    <w:rsid w:val="00B15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7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7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89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3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22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55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03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1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14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84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56179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14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179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77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honline.ru/pub/news/2015/7/100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honline.ru/pub/beginner/2015/7/10038" TargetMode="External"/><Relationship Id="rId12" Type="http://schemas.openxmlformats.org/officeDocument/2006/relationships/hyperlink" Target="https://normativ.kontur.ru/document?moduleId=1&amp;documentId=221416&amp;promocode=0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honline.ru/pub/news/2015/8/10154" TargetMode="External"/><Relationship Id="rId11" Type="http://schemas.openxmlformats.org/officeDocument/2006/relationships/hyperlink" Target="https://normativ.kontur.ru/document?moduleId=1&amp;documentId=221416&amp;promocode=0957" TargetMode="External"/><Relationship Id="rId5" Type="http://schemas.openxmlformats.org/officeDocument/2006/relationships/hyperlink" Target="https://normativ.kontur.ru/document?moduleId=1&amp;documentId=239634&amp;open=1&amp;promocode=0957" TargetMode="External"/><Relationship Id="rId10" Type="http://schemas.openxmlformats.org/officeDocument/2006/relationships/hyperlink" Target="https://normativ.kontur.ru/document?moduleId=1&amp;documentId=221416&amp;promocode=09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21416&amp;promocode=09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1452</Words>
  <Characters>8281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4</cp:revision>
  <dcterms:created xsi:type="dcterms:W3CDTF">2015-08-27T18:46:00Z</dcterms:created>
  <dcterms:modified xsi:type="dcterms:W3CDTF">2015-08-27T18:49:00Z</dcterms:modified>
</cp:coreProperties>
</file>