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D0D" w:rsidRDefault="00153D0D" w:rsidP="00153D0D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53D0D" w:rsidRDefault="00153D0D" w:rsidP="00153D0D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53D0D" w:rsidRPr="00BD3FA7" w:rsidRDefault="00153D0D" w:rsidP="00153D0D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FF0000"/>
          <w:sz w:val="40"/>
          <w:szCs w:val="40"/>
          <w:lang w:eastAsia="ru-RU"/>
        </w:rPr>
      </w:pPr>
      <w:r w:rsidRPr="00153D0D">
        <w:rPr>
          <w:rFonts w:ascii="Arial" w:eastAsia="Times New Roman" w:hAnsi="Arial" w:cs="Arial"/>
          <w:b/>
          <w:color w:val="FF0000"/>
          <w:sz w:val="40"/>
          <w:szCs w:val="40"/>
          <w:lang w:eastAsia="ru-RU"/>
        </w:rPr>
        <w:t xml:space="preserve">Состояния, при которых кетогенная диета противопоказана, делятся </w:t>
      </w:r>
      <w:proofErr w:type="gramStart"/>
      <w:r w:rsidRPr="00153D0D">
        <w:rPr>
          <w:rFonts w:ascii="Arial" w:eastAsia="Times New Roman" w:hAnsi="Arial" w:cs="Arial"/>
          <w:b/>
          <w:color w:val="FF0000"/>
          <w:sz w:val="40"/>
          <w:szCs w:val="40"/>
          <w:lang w:eastAsia="ru-RU"/>
        </w:rPr>
        <w:t>на</w:t>
      </w:r>
      <w:proofErr w:type="gramEnd"/>
      <w:r w:rsidRPr="00153D0D">
        <w:rPr>
          <w:rFonts w:ascii="Arial" w:eastAsia="Times New Roman" w:hAnsi="Arial" w:cs="Arial"/>
          <w:b/>
          <w:color w:val="FF0000"/>
          <w:sz w:val="40"/>
          <w:szCs w:val="40"/>
          <w:lang w:eastAsia="ru-RU"/>
        </w:rPr>
        <w:t xml:space="preserve"> абсолютные и относительные</w:t>
      </w:r>
      <w:r w:rsidRPr="00153D0D">
        <w:rPr>
          <w:rFonts w:ascii="Arial" w:eastAsia="Times New Roman" w:hAnsi="Arial" w:cs="Arial"/>
          <w:color w:val="FF0000"/>
          <w:sz w:val="40"/>
          <w:szCs w:val="40"/>
          <w:lang w:eastAsia="ru-RU"/>
        </w:rPr>
        <w:t>.</w:t>
      </w:r>
    </w:p>
    <w:p w:rsidR="00153D0D" w:rsidRPr="00153D0D" w:rsidRDefault="00153D0D" w:rsidP="00153D0D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53D0D" w:rsidRPr="00BD3FA7" w:rsidRDefault="00153D0D" w:rsidP="00153D0D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BD3FA7"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  <w:t>Абсолютные противопоказания</w:t>
      </w:r>
      <w:r w:rsidRPr="00153D0D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 к </w:t>
      </w:r>
      <w:bookmarkStart w:id="0" w:name="_GoBack"/>
      <w:bookmarkEnd w:id="0"/>
      <w:proofErr w:type="spellStart"/>
      <w:r w:rsidRPr="00153D0D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кетодиете</w:t>
      </w:r>
      <w:proofErr w:type="spellEnd"/>
      <w:r w:rsidRPr="00153D0D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 являются: первичный дефицит карнитина, синдром вторичного дефицита карнитина ( карнитин </w:t>
      </w:r>
      <w:proofErr w:type="spellStart"/>
      <w:r w:rsidRPr="00153D0D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палмитоилтрансферазы</w:t>
      </w:r>
      <w:proofErr w:type="spellEnd"/>
      <w:r w:rsidRPr="00153D0D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 дефицит), дефицит карнитин </w:t>
      </w:r>
      <w:proofErr w:type="spellStart"/>
      <w:r w:rsidRPr="00153D0D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транслоказы</w:t>
      </w:r>
      <w:proofErr w:type="spellEnd"/>
      <w:r w:rsidRPr="00153D0D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, дефекты  бета - окисления ( срединно-цепочечной </w:t>
      </w:r>
      <w:proofErr w:type="spellStart"/>
      <w:r w:rsidRPr="00153D0D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ацилдегидрогеназы</w:t>
      </w:r>
      <w:proofErr w:type="spellEnd"/>
      <w:r w:rsidRPr="00153D0D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 дефицит, длинно-цепочечной </w:t>
      </w:r>
      <w:proofErr w:type="spellStart"/>
      <w:r w:rsidRPr="00153D0D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ацил-дегидрогеназы</w:t>
      </w:r>
      <w:proofErr w:type="spellEnd"/>
      <w:r w:rsidRPr="00153D0D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 дефицит, коротко-цепочечной </w:t>
      </w:r>
      <w:proofErr w:type="spellStart"/>
      <w:r w:rsidRPr="00153D0D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ацил-дегидрогеназы</w:t>
      </w:r>
      <w:proofErr w:type="spellEnd"/>
      <w:r w:rsidRPr="00153D0D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 дефицит, длинно-цепочечной  3-гидроксиацил-Ко</w:t>
      </w:r>
      <w:proofErr w:type="gramStart"/>
      <w:r w:rsidRPr="00153D0D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А-</w:t>
      </w:r>
      <w:proofErr w:type="gramEnd"/>
      <w:r w:rsidRPr="00153D0D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 дефицит, средне-цепочечной 3-гидрокси-ацил-КоА дефицит), дефицит </w:t>
      </w:r>
      <w:proofErr w:type="spellStart"/>
      <w:r w:rsidRPr="00153D0D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пируват</w:t>
      </w:r>
      <w:proofErr w:type="spellEnd"/>
      <w:r w:rsidRPr="00153D0D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-карбоксилазы, </w:t>
      </w:r>
      <w:proofErr w:type="spellStart"/>
      <w:r w:rsidRPr="00153D0D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порфирия</w:t>
      </w:r>
      <w:proofErr w:type="spellEnd"/>
    </w:p>
    <w:p w:rsidR="00153D0D" w:rsidRPr="00153D0D" w:rsidRDefault="00153D0D" w:rsidP="00153D0D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153D0D" w:rsidRPr="00153D0D" w:rsidRDefault="00153D0D" w:rsidP="00153D0D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153D0D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</w:t>
      </w:r>
      <w:r w:rsidRPr="00153D0D"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  <w:t>Относительные противопоказания</w:t>
      </w:r>
      <w:r w:rsidRPr="00153D0D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: невозможность поддерживать адекватное питание, хирургический фокус </w:t>
      </w:r>
      <w:proofErr w:type="spellStart"/>
      <w:r w:rsidRPr="00153D0D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эпиактивности</w:t>
      </w:r>
      <w:proofErr w:type="spellEnd"/>
      <w:r w:rsidRPr="00153D0D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 верифицированный </w:t>
      </w:r>
      <w:proofErr w:type="spellStart"/>
      <w:r w:rsidRPr="00153D0D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нейровизуализацией</w:t>
      </w:r>
      <w:proofErr w:type="spellEnd"/>
      <w:r w:rsidRPr="00153D0D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 и видео-ЭЭГ-мониторингом, </w:t>
      </w:r>
      <w:proofErr w:type="spellStart"/>
      <w:r w:rsidRPr="00153D0D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некомплаентность</w:t>
      </w:r>
      <w:proofErr w:type="spellEnd"/>
      <w:r w:rsidRPr="00153D0D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 родителей или ухаживающих за пациентом.</w:t>
      </w:r>
    </w:p>
    <w:p w:rsidR="00336607" w:rsidRPr="00153D0D" w:rsidRDefault="00BD3FA7">
      <w:pPr>
        <w:rPr>
          <w:sz w:val="32"/>
          <w:szCs w:val="32"/>
        </w:rPr>
      </w:pPr>
    </w:p>
    <w:sectPr w:rsidR="00336607" w:rsidRPr="00153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0D"/>
    <w:rsid w:val="00153D0D"/>
    <w:rsid w:val="00A67F77"/>
    <w:rsid w:val="00BD3FA7"/>
    <w:rsid w:val="00ED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2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Николаевич</dc:creator>
  <cp:lastModifiedBy>Евгений Николаевич</cp:lastModifiedBy>
  <cp:revision>2</cp:revision>
  <dcterms:created xsi:type="dcterms:W3CDTF">2016-08-10T17:01:00Z</dcterms:created>
  <dcterms:modified xsi:type="dcterms:W3CDTF">2016-08-10T17:05:00Z</dcterms:modified>
</cp:coreProperties>
</file>