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3D" w:rsidRDefault="00B5463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4"/>
        <w:gridCol w:w="4039"/>
      </w:tblGrid>
      <w:tr w:rsidR="00B54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63D" w:rsidRDefault="003339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63D" w:rsidRDefault="00333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5463D" w:rsidRDefault="00333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«Гамма»</w:t>
            </w:r>
          </w:p>
          <w:p w:rsidR="00B5463D" w:rsidRDefault="00333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B5463D" w:rsidRDefault="00333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</w:tr>
      <w:tr w:rsidR="00B54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63D" w:rsidRDefault="00B54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63D" w:rsidRDefault="00B54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63D" w:rsidRDefault="0033397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 о системе управления охраной труда 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I. Общие положения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776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 xml:space="preserve">_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подвергаются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</w:t>
      </w:r>
      <w:r>
        <w:rPr>
          <w:rFonts w:hAnsi="Times New Roman" w:cs="Times New Roman"/>
          <w:color w:val="000000"/>
          <w:sz w:val="24"/>
          <w:szCs w:val="24"/>
        </w:rPr>
        <w:t>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наилучшей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межгосударственных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</w:t>
      </w:r>
      <w:r>
        <w:rPr>
          <w:rFonts w:hAnsi="Times New Roman" w:cs="Times New Roman"/>
          <w:color w:val="000000"/>
          <w:sz w:val="24"/>
          <w:szCs w:val="24"/>
        </w:rPr>
        <w:t>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организационной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(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предусматривающей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документированной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>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учетные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</w:t>
      </w:r>
      <w:r>
        <w:rPr>
          <w:rFonts w:hAnsi="Times New Roman" w:cs="Times New Roman"/>
          <w:color w:val="000000"/>
          <w:sz w:val="24"/>
          <w:szCs w:val="24"/>
        </w:rPr>
        <w:t>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</w:t>
      </w:r>
      <w:r>
        <w:rPr>
          <w:rFonts w:hAnsi="Times New Roman" w:cs="Times New Roman"/>
          <w:color w:val="000000"/>
          <w:sz w:val="24"/>
          <w:szCs w:val="24"/>
        </w:rPr>
        <w:t>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II. Политика и цели по охране труда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</w:t>
      </w:r>
      <w:r>
        <w:rPr>
          <w:rFonts w:hAnsi="Times New Roman" w:cs="Times New Roman"/>
          <w:color w:val="000000"/>
          <w:sz w:val="24"/>
          <w:szCs w:val="24"/>
        </w:rPr>
        <w:t>рацией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гарантированном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 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предварительный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травматизма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заболеваемости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оценивае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 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 xml:space="preserve"> VI</w:t>
      </w:r>
      <w:r>
        <w:rPr>
          <w:rFonts w:hAnsi="Times New Roman" w:cs="Times New Roman"/>
          <w:color w:val="000000"/>
          <w:sz w:val="24"/>
          <w:szCs w:val="24"/>
        </w:rPr>
        <w:t> 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формулируются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 определяют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 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размера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численности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</w:t>
      </w:r>
      <w:r>
        <w:rPr>
          <w:rFonts w:hAnsi="Times New Roman" w:cs="Times New Roman"/>
          <w:color w:val="000000"/>
          <w:sz w:val="24"/>
          <w:szCs w:val="24"/>
        </w:rPr>
        <w:t>сиональным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 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осуществимо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</w:t>
      </w:r>
      <w:r>
        <w:rPr>
          <w:rFonts w:hAnsi="Times New Roman" w:cs="Times New Roman"/>
          <w:color w:val="000000"/>
          <w:sz w:val="24"/>
          <w:szCs w:val="24"/>
        </w:rPr>
        <w:t>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21.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долгосрочными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краткосрочными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бизнес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процессы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III. Планирование СУОТ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определяют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уменьшения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нежелательных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24.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25.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 передовой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зарубежный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финансов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функциональные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26.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сопровождающихся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27.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</w:t>
      </w:r>
      <w:r>
        <w:rPr>
          <w:rFonts w:hAnsi="Times New Roman" w:cs="Times New Roman"/>
          <w:color w:val="000000"/>
          <w:sz w:val="24"/>
          <w:szCs w:val="24"/>
        </w:rPr>
        <w:t>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771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28.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наимен</w:t>
      </w:r>
      <w:r>
        <w:rPr>
          <w:rFonts w:hAnsi="Times New Roman" w:cs="Times New Roman"/>
          <w:color w:val="000000"/>
          <w:sz w:val="24"/>
          <w:szCs w:val="24"/>
        </w:rPr>
        <w:t>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ожидаемый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выделяемые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IV. Обеспечение функ</w:t>
      </w:r>
      <w:r>
        <w:rPr>
          <w:b/>
          <w:bCs/>
          <w:color w:val="252525"/>
          <w:spacing w:val="-2"/>
          <w:sz w:val="48"/>
          <w:szCs w:val="48"/>
        </w:rPr>
        <w:t>ционирования СУОТ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29.</w:t>
      </w:r>
      <w:r>
        <w:rPr>
          <w:rFonts w:hAnsi="Times New Roman" w:cs="Times New Roman"/>
          <w:color w:val="000000"/>
          <w:sz w:val="24"/>
          <w:szCs w:val="24"/>
        </w:rPr>
        <w:t> 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реагирования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документирует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30. 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стимулиров</w:t>
      </w:r>
      <w:r>
        <w:rPr>
          <w:rFonts w:hAnsi="Times New Roman" w:cs="Times New Roman"/>
          <w:color w:val="000000"/>
          <w:sz w:val="24"/>
          <w:szCs w:val="24"/>
        </w:rPr>
        <w:t>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микротравм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микроповреждений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</w:t>
      </w:r>
      <w:r>
        <w:rPr>
          <w:rFonts w:hAnsi="Times New Roman" w:cs="Times New Roman"/>
          <w:color w:val="000000"/>
          <w:sz w:val="24"/>
          <w:szCs w:val="24"/>
        </w:rPr>
        <w:t>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проведе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совещаний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круглых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семинаров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конференций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изготовления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аудиовизуальной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бюллетеней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плакатов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аудиоматериалов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ис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«Интернет» 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V. Распределение обязанностей между должностными лицами в сфере охраны труда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33.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34. </w:t>
      </w:r>
      <w:r>
        <w:rPr>
          <w:rFonts w:hAnsi="Times New Roman" w:cs="Times New Roman"/>
          <w:color w:val="000000"/>
          <w:sz w:val="24"/>
          <w:szCs w:val="24"/>
        </w:rPr>
        <w:t>Уровни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 w:rsidR="00B5463D" w:rsidRDefault="003339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обособленного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совокупности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36.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</w:t>
      </w:r>
      <w:r>
        <w:rPr>
          <w:rFonts w:hAnsi="Times New Roman" w:cs="Times New Roman"/>
          <w:color w:val="000000"/>
          <w:sz w:val="24"/>
          <w:szCs w:val="24"/>
        </w:rPr>
        <w:t>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37.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38. </w:t>
      </w:r>
      <w:r>
        <w:rPr>
          <w:rFonts w:hAnsi="Times New Roman" w:cs="Times New Roman"/>
          <w:color w:val="000000"/>
          <w:sz w:val="24"/>
          <w:szCs w:val="24"/>
        </w:rPr>
        <w:t>Управл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представительных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доверенных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39.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приказах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___________), </w:t>
      </w:r>
      <w:r>
        <w:rPr>
          <w:rFonts w:hAnsi="Times New Roman" w:cs="Times New Roman"/>
          <w:color w:val="000000"/>
          <w:sz w:val="24"/>
          <w:szCs w:val="24"/>
        </w:rPr>
        <w:t>планах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участву</w:t>
      </w:r>
      <w:r>
        <w:rPr>
          <w:rFonts w:hAnsi="Times New Roman" w:cs="Times New Roman"/>
          <w:color w:val="000000"/>
          <w:sz w:val="24"/>
          <w:szCs w:val="24"/>
        </w:rPr>
        <w:t>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40.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 ____________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</w:t>
      </w:r>
      <w:r>
        <w:rPr>
          <w:rFonts w:hAnsi="Times New Roman" w:cs="Times New Roman"/>
          <w:color w:val="000000"/>
          <w:sz w:val="24"/>
          <w:szCs w:val="24"/>
        </w:rPr>
        <w:t>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распорядительных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специалистом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</w:t>
      </w:r>
      <w:r>
        <w:rPr>
          <w:rFonts w:hAnsi="Times New Roman" w:cs="Times New Roman"/>
          <w:color w:val="000000"/>
          <w:sz w:val="24"/>
          <w:szCs w:val="24"/>
        </w:rPr>
        <w:t>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</w:t>
      </w:r>
      <w:r>
        <w:rPr>
          <w:rFonts w:hAnsi="Times New Roman" w:cs="Times New Roman"/>
          <w:color w:val="000000"/>
          <w:sz w:val="24"/>
          <w:szCs w:val="24"/>
        </w:rPr>
        <w:t>оту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токсикологических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относящихся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удовл</w:t>
      </w:r>
      <w:r>
        <w:rPr>
          <w:rFonts w:hAnsi="Times New Roman" w:cs="Times New Roman"/>
          <w:color w:val="000000"/>
          <w:sz w:val="24"/>
          <w:szCs w:val="24"/>
        </w:rPr>
        <w:t>етворяющих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</w:t>
      </w:r>
      <w:r>
        <w:rPr>
          <w:rFonts w:hAnsi="Times New Roman" w:cs="Times New Roman"/>
          <w:color w:val="000000"/>
          <w:sz w:val="24"/>
          <w:szCs w:val="24"/>
        </w:rPr>
        <w:t>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полагающихся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компенсациях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контингент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</w:t>
      </w:r>
      <w:r>
        <w:rPr>
          <w:rFonts w:hAnsi="Times New Roman" w:cs="Times New Roman"/>
          <w:color w:val="000000"/>
          <w:sz w:val="24"/>
          <w:szCs w:val="24"/>
        </w:rPr>
        <w:t>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</w:t>
      </w:r>
      <w:r>
        <w:rPr>
          <w:rFonts w:hAnsi="Times New Roman" w:cs="Times New Roman"/>
          <w:color w:val="000000"/>
          <w:sz w:val="24"/>
          <w:szCs w:val="24"/>
        </w:rPr>
        <w:t>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</w:t>
      </w:r>
      <w:r>
        <w:rPr>
          <w:rFonts w:hAnsi="Times New Roman" w:cs="Times New Roman"/>
          <w:color w:val="000000"/>
          <w:sz w:val="24"/>
          <w:szCs w:val="24"/>
        </w:rPr>
        <w:t>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отстраняет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допустивших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неоднократные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психиатрические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</w:t>
      </w:r>
      <w:r>
        <w:rPr>
          <w:rFonts w:hAnsi="Times New Roman" w:cs="Times New Roman"/>
          <w:color w:val="000000"/>
          <w:sz w:val="24"/>
          <w:szCs w:val="24"/>
        </w:rPr>
        <w:t>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предохранительных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переходов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площадок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лестничных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захла</w:t>
      </w:r>
      <w:r>
        <w:rPr>
          <w:rFonts w:hAnsi="Times New Roman" w:cs="Times New Roman"/>
          <w:color w:val="000000"/>
          <w:sz w:val="24"/>
          <w:szCs w:val="24"/>
        </w:rPr>
        <w:t>мленности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приспособления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>спечивающие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угрожающей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ухудшении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</w:t>
      </w:r>
      <w:r>
        <w:rPr>
          <w:rFonts w:hAnsi="Times New Roman" w:cs="Times New Roman"/>
          <w:color w:val="000000"/>
          <w:sz w:val="24"/>
          <w:szCs w:val="24"/>
        </w:rPr>
        <w:t>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наглядных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режимов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>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</w:t>
      </w:r>
      <w:r>
        <w:rPr>
          <w:rFonts w:hAnsi="Times New Roman" w:cs="Times New Roman"/>
          <w:color w:val="000000"/>
          <w:sz w:val="24"/>
          <w:szCs w:val="24"/>
        </w:rPr>
        <w:t>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токсикологических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ненадлежащее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делегирует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полномочий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токсикологических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удовлетворяющих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>
        <w:rPr>
          <w:rFonts w:hAnsi="Times New Roman" w:cs="Times New Roman"/>
          <w:color w:val="000000"/>
          <w:sz w:val="24"/>
          <w:szCs w:val="24"/>
        </w:rPr>
        <w:t>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контингента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</w:t>
      </w:r>
      <w:r>
        <w:rPr>
          <w:rFonts w:hAnsi="Times New Roman" w:cs="Times New Roman"/>
          <w:color w:val="000000"/>
          <w:sz w:val="24"/>
          <w:szCs w:val="24"/>
        </w:rPr>
        <w:t>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</w:t>
      </w:r>
      <w:r>
        <w:rPr>
          <w:rFonts w:hAnsi="Times New Roman" w:cs="Times New Roman"/>
          <w:color w:val="000000"/>
          <w:sz w:val="24"/>
          <w:szCs w:val="24"/>
        </w:rPr>
        <w:t>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</w:t>
      </w:r>
      <w:r>
        <w:rPr>
          <w:rFonts w:hAnsi="Times New Roman" w:cs="Times New Roman"/>
          <w:color w:val="000000"/>
          <w:sz w:val="24"/>
          <w:szCs w:val="24"/>
        </w:rPr>
        <w:t>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ерсональную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оградительными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</w:t>
      </w:r>
      <w:r>
        <w:rPr>
          <w:rFonts w:hAnsi="Times New Roman" w:cs="Times New Roman"/>
          <w:color w:val="000000"/>
          <w:sz w:val="24"/>
          <w:szCs w:val="24"/>
        </w:rPr>
        <w:t>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</w:t>
      </w:r>
      <w:r>
        <w:rPr>
          <w:rFonts w:hAnsi="Times New Roman" w:cs="Times New Roman"/>
          <w:color w:val="000000"/>
          <w:sz w:val="24"/>
          <w:szCs w:val="24"/>
        </w:rPr>
        <w:t>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</w:t>
      </w:r>
      <w:r>
        <w:rPr>
          <w:rFonts w:hAnsi="Times New Roman" w:cs="Times New Roman"/>
          <w:color w:val="000000"/>
          <w:sz w:val="24"/>
          <w:szCs w:val="24"/>
        </w:rPr>
        <w:t>иста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бригадир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правильную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захламленности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проездо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алкогольного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наркотического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опьянения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</w:t>
      </w:r>
      <w:r>
        <w:rPr>
          <w:rFonts w:hAnsi="Times New Roman" w:cs="Times New Roman"/>
          <w:color w:val="000000"/>
          <w:sz w:val="24"/>
          <w:szCs w:val="24"/>
        </w:rPr>
        <w:t>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катастро</w:t>
      </w:r>
      <w:r>
        <w:rPr>
          <w:rFonts w:hAnsi="Times New Roman" w:cs="Times New Roman"/>
          <w:color w:val="000000"/>
          <w:sz w:val="24"/>
          <w:szCs w:val="24"/>
        </w:rPr>
        <w:t>фе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предупредительные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VI. Функцион</w:t>
      </w:r>
      <w:r>
        <w:rPr>
          <w:b/>
          <w:bCs/>
          <w:color w:val="252525"/>
          <w:spacing w:val="-2"/>
          <w:sz w:val="48"/>
          <w:szCs w:val="48"/>
        </w:rPr>
        <w:t>ирование CУОТ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 Специальная оценка условий труда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СОУТ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42. </w:t>
      </w:r>
      <w:r>
        <w:rPr>
          <w:rFonts w:hAnsi="Times New Roman" w:cs="Times New Roman"/>
          <w:color w:val="000000"/>
          <w:sz w:val="24"/>
          <w:szCs w:val="24"/>
        </w:rPr>
        <w:t>Организационный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43.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 Оценка профессиональных рисков 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44.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</w:t>
      </w:r>
      <w:r>
        <w:rPr>
          <w:rFonts w:hAnsi="Times New Roman" w:cs="Times New Roman"/>
          <w:color w:val="000000"/>
          <w:sz w:val="24"/>
          <w:szCs w:val="24"/>
        </w:rPr>
        <w:t>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ОПР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45. </w:t>
      </w:r>
      <w:r>
        <w:rPr>
          <w:rFonts w:hAnsi="Times New Roman" w:cs="Times New Roman"/>
          <w:color w:val="000000"/>
          <w:sz w:val="24"/>
          <w:szCs w:val="24"/>
        </w:rPr>
        <w:t>Процедура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46.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идентификация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реестра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обнаружению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распознаванию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36.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47.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упорядочивание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</w:t>
      </w:r>
      <w:r>
        <w:rPr>
          <w:rFonts w:hAnsi="Times New Roman" w:cs="Times New Roman"/>
          <w:color w:val="000000"/>
          <w:sz w:val="24"/>
          <w:szCs w:val="24"/>
        </w:rPr>
        <w:t>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 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приемлемом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нормальных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отклонени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объектах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48.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идентифицирован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49.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идентифицированных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</w:t>
      </w:r>
      <w:r>
        <w:rPr>
          <w:rFonts w:hAnsi="Times New Roman" w:cs="Times New Roman"/>
          <w:color w:val="000000"/>
          <w:sz w:val="24"/>
          <w:szCs w:val="24"/>
        </w:rPr>
        <w:t>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28.12.2021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926.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50. ____________________</w:t>
      </w:r>
      <w:r>
        <w:rPr>
          <w:rFonts w:hAnsi="Times New Roman" w:cs="Times New Roman"/>
          <w:color w:val="000000"/>
          <w:sz w:val="24"/>
          <w:szCs w:val="24"/>
        </w:rPr>
        <w:t> 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51.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направляются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52. </w:t>
      </w:r>
      <w:r>
        <w:rPr>
          <w:rFonts w:hAnsi="Times New Roman" w:cs="Times New Roman"/>
          <w:color w:val="000000"/>
          <w:sz w:val="24"/>
          <w:szCs w:val="24"/>
        </w:rPr>
        <w:t>Примерный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_______________. 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 Проведение медицинских осмотров и освидетельствований работников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53.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</w:t>
      </w:r>
      <w:r>
        <w:rPr>
          <w:rFonts w:hAnsi="Times New Roman" w:cs="Times New Roman"/>
          <w:color w:val="000000"/>
          <w:sz w:val="24"/>
          <w:szCs w:val="24"/>
        </w:rPr>
        <w:t>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 xml:space="preserve"> 220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54.</w:t>
      </w:r>
      <w:r>
        <w:rPr>
          <w:rFonts w:hAnsi="Times New Roman" w:cs="Times New Roman"/>
          <w:color w:val="000000"/>
          <w:sz w:val="24"/>
          <w:szCs w:val="24"/>
        </w:rPr>
        <w:t> 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возложена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55.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, ___________ </w:t>
      </w:r>
      <w:r>
        <w:rPr>
          <w:rFonts w:hAnsi="Times New Roman" w:cs="Times New Roman"/>
          <w:color w:val="000000"/>
          <w:sz w:val="24"/>
          <w:szCs w:val="24"/>
        </w:rPr>
        <w:t>обеспечивает недопущение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статьи </w:t>
      </w:r>
      <w:r>
        <w:rPr>
          <w:rFonts w:hAnsi="Times New Roman" w:cs="Times New Roman"/>
          <w:color w:val="000000"/>
          <w:sz w:val="24"/>
          <w:szCs w:val="24"/>
        </w:rPr>
        <w:t xml:space="preserve">76 </w:t>
      </w:r>
      <w:r>
        <w:rPr>
          <w:rFonts w:hAnsi="Times New Roman" w:cs="Times New Roman"/>
          <w:color w:val="000000"/>
          <w:sz w:val="24"/>
          <w:szCs w:val="24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56.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закреплен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 Проведение обучения работников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57. </w:t>
      </w:r>
      <w:r>
        <w:rPr>
          <w:rFonts w:hAnsi="Times New Roman" w:cs="Times New Roman"/>
          <w:color w:val="000000"/>
          <w:sz w:val="24"/>
          <w:szCs w:val="24"/>
        </w:rPr>
        <w:t>Организация обучения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стажировка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 знани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 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24.12.2021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2464.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58.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</w:t>
      </w:r>
      <w:r>
        <w:rPr>
          <w:rFonts w:hAnsi="Times New Roman" w:cs="Times New Roman"/>
          <w:color w:val="000000"/>
          <w:sz w:val="24"/>
          <w:szCs w:val="24"/>
        </w:rPr>
        <w:t>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___________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 части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статьи</w:t>
      </w:r>
      <w:r>
        <w:rPr>
          <w:rFonts w:hAnsi="Times New Roman" w:cs="Times New Roman"/>
          <w:color w:val="000000"/>
          <w:sz w:val="24"/>
          <w:szCs w:val="24"/>
        </w:rPr>
        <w:t xml:space="preserve"> 76 </w:t>
      </w:r>
      <w:r>
        <w:rPr>
          <w:rFonts w:hAnsi="Times New Roman" w:cs="Times New Roman"/>
          <w:color w:val="000000"/>
          <w:sz w:val="24"/>
          <w:szCs w:val="24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59.</w:t>
      </w:r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>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 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закреплен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 Обеспечение работников средствами индивидуальной защиты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</w:t>
      </w:r>
      <w:r>
        <w:rPr>
          <w:rFonts w:hAnsi="Times New Roman" w:cs="Times New Roman"/>
          <w:color w:val="000000"/>
          <w:sz w:val="24"/>
          <w:szCs w:val="24"/>
        </w:rPr>
        <w:t>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61. ________________________________ </w:t>
      </w:r>
      <w:r>
        <w:rPr>
          <w:rFonts w:hAnsi="Times New Roman" w:cs="Times New Roman"/>
          <w:color w:val="000000"/>
          <w:sz w:val="24"/>
          <w:szCs w:val="24"/>
        </w:rPr>
        <w:t>разрабатывает 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62.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</w:t>
      </w:r>
      <w:r>
        <w:rPr>
          <w:rFonts w:hAnsi="Times New Roman" w:cs="Times New Roman"/>
          <w:color w:val="000000"/>
          <w:sz w:val="24"/>
          <w:szCs w:val="24"/>
        </w:rPr>
        <w:t>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обезвреживающими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реквизитам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63.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6. Обеспечение безопасности работников подрядных организаций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64.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снабжение 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разработанным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 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снабжения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66.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 Примерны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22.09.2021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656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67.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снабжения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поставщиков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</w:t>
      </w:r>
      <w:r>
        <w:rPr>
          <w:rFonts w:hAnsi="Times New Roman" w:cs="Times New Roman"/>
          <w:color w:val="000000"/>
          <w:sz w:val="24"/>
          <w:szCs w:val="24"/>
        </w:rPr>
        <w:t>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надлежащего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оценк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поставщиком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7. Санитарно-бытовое обеспечен</w:t>
      </w:r>
      <w:r>
        <w:rPr>
          <w:b/>
          <w:bCs/>
          <w:color w:val="252525"/>
          <w:spacing w:val="-2"/>
          <w:sz w:val="42"/>
          <w:szCs w:val="42"/>
        </w:rPr>
        <w:t>ие работников 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68.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69. ___________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холодильниками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микроволновыми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отвечающими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70.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аптечками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уком</w:t>
      </w:r>
      <w:r>
        <w:rPr>
          <w:rFonts w:hAnsi="Times New Roman" w:cs="Times New Roman"/>
          <w:color w:val="000000"/>
          <w:sz w:val="24"/>
          <w:szCs w:val="24"/>
        </w:rPr>
        <w:t>плектованными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питьевой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8. Выдача работникам молока </w:t>
      </w:r>
      <w:r>
        <w:rPr>
          <w:b/>
          <w:bCs/>
          <w:color w:val="252525"/>
          <w:spacing w:val="-2"/>
          <w:sz w:val="42"/>
          <w:szCs w:val="42"/>
        </w:rPr>
        <w:t>или других равноценных пищевых продуктов и лечебно-профилактического питания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равноценными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бесплатное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равноценных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9. Обеспечение режимов труда и отдыха работников 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72.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обеспечиваются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переутомления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73.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ind w:right="32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ind w:right="1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внутрисменных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благоприятных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микроклиматических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поддержание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утомляемости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74.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</w:t>
      </w:r>
      <w:r>
        <w:rPr>
          <w:rFonts w:hAnsi="Times New Roman" w:cs="Times New Roman"/>
          <w:color w:val="000000"/>
          <w:sz w:val="24"/>
          <w:szCs w:val="24"/>
        </w:rPr>
        <w:t>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 </w:t>
      </w:r>
      <w:r>
        <w:rPr>
          <w:rFonts w:hAnsi="Times New Roman" w:cs="Times New Roman"/>
          <w:color w:val="000000"/>
          <w:sz w:val="24"/>
          <w:szCs w:val="24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10. Обеспечение социального страхования работников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75.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пенсионному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материнством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</w:t>
      </w:r>
      <w:r>
        <w:rPr>
          <w:rFonts w:hAnsi="Times New Roman" w:cs="Times New Roman"/>
          <w:color w:val="000000"/>
          <w:sz w:val="24"/>
          <w:szCs w:val="24"/>
        </w:rPr>
        <w:t>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76.____________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исчислять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уплачивать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перечислять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страховые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взносы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расследовать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</w:t>
      </w:r>
      <w:r>
        <w:rPr>
          <w:rFonts w:hAnsi="Times New Roman" w:cs="Times New Roman"/>
          <w:color w:val="000000"/>
          <w:sz w:val="24"/>
          <w:szCs w:val="24"/>
        </w:rPr>
        <w:t>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11. Взаимодействие с государственными надзорными органами, органами исполнительной власти и профсоюзного контроля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77.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78.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</w:t>
      </w:r>
      <w:r>
        <w:rPr>
          <w:rFonts w:hAnsi="Times New Roman" w:cs="Times New Roman"/>
          <w:color w:val="000000"/>
          <w:sz w:val="24"/>
          <w:szCs w:val="24"/>
        </w:rPr>
        <w:t>измов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применимо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механи</w:t>
      </w:r>
      <w:r>
        <w:rPr>
          <w:rFonts w:hAnsi="Times New Roman" w:cs="Times New Roman"/>
          <w:color w:val="000000"/>
          <w:sz w:val="24"/>
          <w:szCs w:val="24"/>
        </w:rPr>
        <w:t>змов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79.</w:t>
      </w:r>
      <w:r>
        <w:rPr>
          <w:rFonts w:hAnsi="Times New Roman" w:cs="Times New Roman"/>
          <w:color w:val="000000"/>
          <w:sz w:val="24"/>
          <w:szCs w:val="24"/>
        </w:rPr>
        <w:t> 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12. Реагирование на аварии, несчастные случаи, микротравмы и профессиональные заболевания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80.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недопущения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</w:t>
      </w:r>
      <w:r>
        <w:rPr>
          <w:rFonts w:hAnsi="Times New Roman" w:cs="Times New Roman"/>
          <w:color w:val="000000"/>
          <w:sz w:val="24"/>
          <w:szCs w:val="24"/>
        </w:rPr>
        <w:t>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травматизма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порядки 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зрабатываемых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реагирования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невозобновление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</w:t>
      </w:r>
      <w:r>
        <w:rPr>
          <w:rFonts w:hAnsi="Times New Roman" w:cs="Times New Roman"/>
          <w:color w:val="000000"/>
          <w:sz w:val="24"/>
          <w:szCs w:val="24"/>
        </w:rPr>
        <w:t>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службам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надежной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</w:t>
      </w:r>
      <w:r>
        <w:rPr>
          <w:rFonts w:hAnsi="Times New Roman" w:cs="Times New Roman"/>
          <w:color w:val="000000"/>
          <w:sz w:val="24"/>
          <w:szCs w:val="24"/>
        </w:rPr>
        <w:t>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здравпункта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</w:t>
      </w:r>
      <w:r>
        <w:rPr>
          <w:rFonts w:hAnsi="Times New Roman" w:cs="Times New Roman"/>
          <w:color w:val="000000"/>
          <w:sz w:val="24"/>
          <w:szCs w:val="24"/>
        </w:rPr>
        <w:t>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приближенных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82.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(________________;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</w:t>
      </w:r>
      <w:r>
        <w:rPr>
          <w:rFonts w:hAnsi="Times New Roman" w:cs="Times New Roman"/>
          <w:color w:val="000000"/>
          <w:sz w:val="24"/>
          <w:szCs w:val="24"/>
        </w:rPr>
        <w:t>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 </w:t>
      </w:r>
      <w:r>
        <w:rPr>
          <w:rFonts w:hAnsi="Times New Roman" w:cs="Times New Roman"/>
          <w:color w:val="000000"/>
          <w:sz w:val="24"/>
          <w:szCs w:val="24"/>
        </w:rPr>
        <w:t>(________________;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микротравм </w:t>
      </w:r>
      <w:r>
        <w:rPr>
          <w:rFonts w:hAnsi="Times New Roman" w:cs="Times New Roman"/>
          <w:color w:val="000000"/>
          <w:sz w:val="24"/>
          <w:szCs w:val="24"/>
        </w:rPr>
        <w:t>(________________.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83.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реагирования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справок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повлекших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13. Обеспечение безопасности работников при эксплуатации зданий и сооружений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</w:t>
      </w:r>
      <w:r>
        <w:rPr>
          <w:rFonts w:hAnsi="Times New Roman" w:cs="Times New Roman"/>
          <w:color w:val="000000"/>
          <w:sz w:val="24"/>
          <w:szCs w:val="24"/>
        </w:rPr>
        <w:t>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надлежащего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энергообеспечения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водопровода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отопления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B5463D" w:rsidRDefault="0033397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интерьеров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архитектурно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85.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</w:t>
      </w:r>
      <w:r>
        <w:rPr>
          <w:rFonts w:hAnsi="Times New Roman" w:cs="Times New Roman"/>
          <w:color w:val="000000"/>
          <w:sz w:val="24"/>
          <w:szCs w:val="24"/>
        </w:rPr>
        <w:t>егрузок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покрытием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ревизий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безотлагательных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86. </w:t>
      </w:r>
      <w:r>
        <w:rPr>
          <w:rFonts w:hAnsi="Times New Roman" w:cs="Times New Roman"/>
          <w:color w:val="000000"/>
          <w:sz w:val="24"/>
          <w:szCs w:val="24"/>
        </w:rPr>
        <w:t>Поддержание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надлежащем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водосточ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трубопроводов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водостока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теплоснабжения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замачивания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фундаментов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влажностного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>опожарного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взрывобезопасного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Своевременная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габаритов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прилегающи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87. 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надлежащее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</w:t>
      </w:r>
      <w:r>
        <w:rPr>
          <w:rFonts w:hAnsi="Times New Roman" w:cs="Times New Roman"/>
          <w:color w:val="000000"/>
          <w:sz w:val="24"/>
          <w:szCs w:val="24"/>
        </w:rPr>
        <w:t>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88.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</w:t>
      </w:r>
      <w:r>
        <w:rPr>
          <w:rFonts w:hAnsi="Times New Roman" w:cs="Times New Roman"/>
          <w:color w:val="000000"/>
          <w:sz w:val="24"/>
          <w:szCs w:val="24"/>
        </w:rPr>
        <w:t>едные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еженедельные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благоустройство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фундаменты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встроенные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коте</w:t>
      </w:r>
      <w:r>
        <w:rPr>
          <w:rFonts w:hAnsi="Times New Roman" w:cs="Times New Roman"/>
          <w:color w:val="000000"/>
          <w:sz w:val="24"/>
          <w:szCs w:val="24"/>
        </w:rPr>
        <w:t>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насосные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тепловые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элеваторные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фасада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балконы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лоджии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эркеры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козырьки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архитектурные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водоотводящие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кровли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чердачные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перекрытия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чердачных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этажно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перекрытия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капитальные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перегородки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санузлы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габаритных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приближений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обустройства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противопожарные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весной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фонарей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дверей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желобов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водостоков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ливнеприемников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</w:t>
      </w:r>
      <w:r>
        <w:rPr>
          <w:rFonts w:hAnsi="Times New Roman" w:cs="Times New Roman"/>
          <w:color w:val="000000"/>
          <w:sz w:val="24"/>
          <w:szCs w:val="24"/>
        </w:rPr>
        <w:t>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фонарей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дверей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отопления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водопровода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B5463D" w:rsidRDefault="0033397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водостоков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желобов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ливневой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кровли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пожаров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ураганных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ливней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снегопадов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89.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дефекты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VII. Управление </w:t>
      </w:r>
      <w:r>
        <w:rPr>
          <w:b/>
          <w:bCs/>
          <w:color w:val="252525"/>
          <w:spacing w:val="-2"/>
          <w:sz w:val="48"/>
          <w:szCs w:val="48"/>
        </w:rPr>
        <w:t>документами СУОТ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90.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 и содержит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</w:t>
      </w:r>
      <w:r>
        <w:rPr>
          <w:rFonts w:hAnsi="Times New Roman" w:cs="Times New Roman"/>
          <w:color w:val="000000"/>
          <w:sz w:val="24"/>
          <w:szCs w:val="24"/>
        </w:rPr>
        <w:t>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обеспечивающие</w:t>
      </w:r>
    </w:p>
    <w:p w:rsidR="00B5463D" w:rsidRDefault="0033397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91.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93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пересмотру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актуализации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учетные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B5463D" w:rsidRDefault="00333974">
      <w:pPr>
        <w:ind w:right="246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вытекающие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журналы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VIII. Оценка результатов деятельности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разработан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 </w:t>
      </w:r>
      <w:r>
        <w:rPr>
          <w:rFonts w:hAnsi="Times New Roman" w:cs="Times New Roman"/>
          <w:color w:val="000000"/>
          <w:sz w:val="24"/>
          <w:szCs w:val="24"/>
        </w:rPr>
        <w:t xml:space="preserve">(_______________),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</w:t>
      </w:r>
      <w:r>
        <w:rPr>
          <w:rFonts w:hAnsi="Times New Roman" w:cs="Times New Roman"/>
          <w:color w:val="000000"/>
          <w:sz w:val="24"/>
          <w:szCs w:val="24"/>
        </w:rPr>
        <w:t>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соглашениям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(___________________________________________________________________);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</w:t>
      </w:r>
      <w:r>
        <w:rPr>
          <w:rFonts w:hAnsi="Times New Roman" w:cs="Times New Roman"/>
          <w:color w:val="000000"/>
          <w:sz w:val="24"/>
          <w:szCs w:val="24"/>
        </w:rPr>
        <w:t>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: (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психиатрических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токсикологических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регулярный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</w:t>
      </w:r>
      <w:r>
        <w:rPr>
          <w:rFonts w:hAnsi="Times New Roman" w:cs="Times New Roman"/>
          <w:color w:val="000000"/>
          <w:sz w:val="24"/>
          <w:szCs w:val="24"/>
        </w:rPr>
        <w:t>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фотонаблюдения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96.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трехступенчатые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97.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>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намеченных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</w:t>
      </w:r>
      <w:r>
        <w:rPr>
          <w:rFonts w:hAnsi="Times New Roman" w:cs="Times New Roman"/>
          <w:color w:val="000000"/>
          <w:sz w:val="24"/>
          <w:szCs w:val="24"/>
        </w:rPr>
        <w:t>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затронут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полноту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</w:t>
      </w:r>
      <w:r>
        <w:rPr>
          <w:rFonts w:hAnsi="Times New Roman" w:cs="Times New Roman"/>
          <w:color w:val="000000"/>
          <w:sz w:val="24"/>
          <w:szCs w:val="24"/>
        </w:rPr>
        <w:t>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98.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абсолютные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99. </w:t>
      </w:r>
      <w:r>
        <w:rPr>
          <w:rFonts w:hAnsi="Times New Roman" w:cs="Times New Roman"/>
          <w:color w:val="000000"/>
          <w:sz w:val="24"/>
          <w:szCs w:val="24"/>
        </w:rPr>
        <w:t>Ре</w:t>
      </w:r>
      <w:r>
        <w:rPr>
          <w:rFonts w:hAnsi="Times New Roman" w:cs="Times New Roman"/>
          <w:color w:val="000000"/>
          <w:sz w:val="24"/>
          <w:szCs w:val="24"/>
        </w:rPr>
        <w:t>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100.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использует 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 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зменению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IX. Улучшение функционирования СУОТ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 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</w:t>
      </w:r>
      <w:r>
        <w:rPr>
          <w:rFonts w:hAnsi="Times New Roman" w:cs="Times New Roman"/>
          <w:color w:val="000000"/>
          <w:sz w:val="24"/>
          <w:szCs w:val="24"/>
        </w:rPr>
        <w:t>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микротравм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</w:t>
      </w:r>
      <w:r>
        <w:rPr>
          <w:rFonts w:hAnsi="Times New Roman" w:cs="Times New Roman"/>
          <w:color w:val="000000"/>
          <w:sz w:val="24"/>
          <w:szCs w:val="24"/>
        </w:rPr>
        <w:t>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102.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аправлен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103.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104. </w:t>
      </w:r>
      <w:r>
        <w:rPr>
          <w:rFonts w:hAnsi="Times New Roman" w:cs="Times New Roman"/>
          <w:color w:val="000000"/>
          <w:sz w:val="24"/>
          <w:szCs w:val="24"/>
        </w:rPr>
        <w:t>Корректирующие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разрабатывают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микроповреждений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микротравм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поступив</w:t>
      </w:r>
      <w:r>
        <w:rPr>
          <w:rFonts w:hAnsi="Times New Roman" w:cs="Times New Roman"/>
          <w:color w:val="000000"/>
          <w:sz w:val="24"/>
          <w:szCs w:val="24"/>
        </w:rPr>
        <w:t>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105.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</w:t>
      </w:r>
      <w:r>
        <w:rPr>
          <w:rFonts w:hAnsi="Times New Roman" w:cs="Times New Roman"/>
          <w:color w:val="000000"/>
          <w:sz w:val="24"/>
          <w:szCs w:val="24"/>
        </w:rPr>
        <w:t>учшения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5463D" w:rsidRDefault="003339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63D" w:rsidRDefault="0033397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X. Заключительные положения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106.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 </w:t>
      </w:r>
      <w:r>
        <w:rPr>
          <w:rFonts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</w:t>
      </w:r>
      <w:r>
        <w:rPr>
          <w:rFonts w:hAnsi="Times New Roman" w:cs="Times New Roman"/>
          <w:color w:val="000000"/>
          <w:sz w:val="24"/>
          <w:szCs w:val="24"/>
        </w:rPr>
        <w:t>нствование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107.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12.0.230.2-2015 </w:t>
      </w:r>
      <w:r>
        <w:rPr>
          <w:rFonts w:hAnsi="Times New Roman" w:cs="Times New Roman"/>
          <w:color w:val="000000"/>
          <w:sz w:val="24"/>
          <w:szCs w:val="24"/>
        </w:rPr>
        <w:t>«Межгосударственный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</w:t>
      </w:r>
      <w:r>
        <w:rPr>
          <w:rFonts w:hAnsi="Times New Roman" w:cs="Times New Roman"/>
          <w:color w:val="000000"/>
          <w:sz w:val="24"/>
          <w:szCs w:val="24"/>
        </w:rPr>
        <w:t>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систематизирует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12.0.230-2007.</w:t>
      </w:r>
    </w:p>
    <w:p w:rsidR="00B5463D" w:rsidRDefault="003339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108.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63D" w:rsidRDefault="003339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776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12.0.007-2009 </w:t>
      </w:r>
      <w:r>
        <w:rPr>
          <w:rFonts w:hAnsi="Times New Roman" w:cs="Times New Roman"/>
          <w:color w:val="000000"/>
          <w:sz w:val="24"/>
          <w:szCs w:val="24"/>
        </w:rPr>
        <w:t>«Система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Межгосударственный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12.0.230-2007 </w:t>
      </w:r>
      <w:r>
        <w:rPr>
          <w:rFonts w:hAnsi="Times New Roman" w:cs="Times New Roman"/>
          <w:color w:val="000000"/>
          <w:sz w:val="24"/>
          <w:szCs w:val="24"/>
        </w:rPr>
        <w:t>«Система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Межгосударственный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12.0.230.1-2015 </w:t>
      </w:r>
      <w:r>
        <w:rPr>
          <w:rFonts w:hAnsi="Times New Roman" w:cs="Times New Roman"/>
          <w:color w:val="000000"/>
          <w:sz w:val="24"/>
          <w:szCs w:val="24"/>
        </w:rPr>
        <w:t>«Межго</w:t>
      </w:r>
      <w:r>
        <w:rPr>
          <w:rFonts w:hAnsi="Times New Roman" w:cs="Times New Roman"/>
          <w:color w:val="000000"/>
          <w:sz w:val="24"/>
          <w:szCs w:val="24"/>
        </w:rPr>
        <w:t>сударственный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12.0.230-2007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463D" w:rsidRDefault="0033397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Межгосударственный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12.0.230.2-2015 </w:t>
      </w:r>
      <w:r>
        <w:rPr>
          <w:rFonts w:hAnsi="Times New Roman" w:cs="Times New Roman"/>
          <w:color w:val="000000"/>
          <w:sz w:val="24"/>
          <w:szCs w:val="24"/>
        </w:rPr>
        <w:t>«Система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54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82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54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04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D5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1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83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7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05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D7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83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76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51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66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A5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45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C3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F0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47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10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  <w:num w:numId="18">
    <w:abstractNumId w:val="1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3974"/>
    <w:rsid w:val="003514A0"/>
    <w:rsid w:val="004F7E17"/>
    <w:rsid w:val="005A05CE"/>
    <w:rsid w:val="00653AF6"/>
    <w:rsid w:val="00B5463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7BD8-600A-41CD-9269-F05F4EE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8634</Words>
  <Characters>49219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NAUKA</dc:creator>
  <dc:description>Подготовлено экспертами Актион-МЦФЭР</dc:description>
  <cp:lastModifiedBy>NAUKA</cp:lastModifiedBy>
  <cp:revision>2</cp:revision>
  <dcterms:created xsi:type="dcterms:W3CDTF">2022-09-27T05:29:00Z</dcterms:created>
  <dcterms:modified xsi:type="dcterms:W3CDTF">2022-09-27T05:29:00Z</dcterms:modified>
</cp:coreProperties>
</file>