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widowControl/>
        <w:numPr>
          <w:ilvl w:val="0"/>
          <w:numId w:val="0"/>
        </w:numPr>
        <w:bidi w:val="0"/>
        <w:spacing w:before="0" w:after="0"/>
        <w:ind w:left="707" w:hanging="0"/>
        <w:jc w:val="center"/>
        <w:rPr>
          <w:rFonts w:ascii="PT Sans;sans-serif" w:hAnsi="PT Sans;sans-serif"/>
          <w:b/>
          <w:b/>
          <w:bCs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pPr>
      <w:r>
        <w:rPr>
          <w:rFonts w:ascii="PT Sans;sans-serif" w:hAnsi="PT Sans;sans-serif"/>
          <w:b/>
          <w:bCs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  <w:t>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(Зарегистрировано в Минюсте России 29.01.2021 N 62277)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0"/>
        <w:ind w:left="707" w:hanging="0"/>
        <w:jc w:val="left"/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pPr>
      <w:r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r>
    </w:p>
    <w:p>
      <w:pPr>
        <w:pStyle w:val="Style16"/>
        <w:widowControl/>
        <w:numPr>
          <w:ilvl w:val="0"/>
          <w:numId w:val="0"/>
        </w:numPr>
        <w:bidi w:val="0"/>
        <w:spacing w:before="0" w:after="0"/>
        <w:ind w:left="707" w:hanging="0"/>
        <w:jc w:val="left"/>
        <w:rPr/>
      </w:pPr>
      <w:hyperlink r:id="rId2">
        <w:r>
          <w:rPr/>
        </w:r>
      </w:hyperlink>
    </w:p>
    <w:p>
      <w:pPr>
        <w:pStyle w:val="Style16"/>
        <w:widowControl/>
        <w:numPr>
          <w:ilvl w:val="0"/>
          <w:numId w:val="0"/>
        </w:numPr>
        <w:bidi w:val="0"/>
        <w:spacing w:before="0" w:after="0"/>
        <w:ind w:left="707" w:hanging="0"/>
        <w:jc w:val="left"/>
        <w:rPr/>
      </w:pPr>
      <w:hyperlink r:id="rId3">
        <w:r>
          <w:rPr/>
        </w:r>
      </w:hyperlink>
    </w:p>
    <w:p>
      <w:pPr>
        <w:pStyle w:val="Style16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0"/>
        <w:jc w:val="left"/>
        <w:rPr/>
      </w:pPr>
      <w:hyperlink r:id="rId4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Приказ</w:t>
        </w:r>
      </w:hyperlink>
    </w:p>
    <w:p>
      <w:pPr>
        <w:pStyle w:val="Style16"/>
        <w:widowControl/>
        <w:numPr>
          <w:ilvl w:val="0"/>
          <w:numId w:val="0"/>
        </w:numPr>
        <w:bidi w:val="0"/>
        <w:spacing w:before="0" w:after="0"/>
        <w:ind w:left="707" w:hanging="0"/>
        <w:jc w:val="left"/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pPr>
      <w:r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r>
    </w:p>
    <w:p>
      <w:pPr>
        <w:pStyle w:val="Style16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0"/>
        <w:jc w:val="left"/>
        <w:rPr/>
      </w:pPr>
      <w:hyperlink r:id="rId5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Приложение N 1. Порядок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6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I. Общие положения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7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II. Порядок проведения предварительных осмотров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8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III. Порядок проведения периодических осмотров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9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Приложение. Периодичность и объем обязательных предварительных и периодических медицинских осмотров работников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0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I. Химические факторы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1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II. Биологические факторы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2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III. Аэрозоли преимущественно фиброгенного действия (АПФД) и пыли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3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IV. Физические факторы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4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V. Факторы трудового процесса</w:t>
        </w:r>
      </w:hyperlink>
    </w:p>
    <w:p>
      <w:pPr>
        <w:pStyle w:val="Style16"/>
        <w:widowControl/>
        <w:numPr>
          <w:ilvl w:val="2"/>
          <w:numId w:val="2"/>
        </w:numPr>
        <w:tabs>
          <w:tab w:val="clear" w:pos="709"/>
          <w:tab w:val="left" w:pos="2121" w:leader="none"/>
        </w:tabs>
        <w:bidi w:val="0"/>
        <w:spacing w:before="0" w:after="0"/>
        <w:ind w:left="2121" w:hanging="0"/>
        <w:jc w:val="left"/>
        <w:rPr/>
      </w:pPr>
      <w:hyperlink r:id="rId15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VI. Выполняемые работы</w:t>
        </w:r>
      </w:hyperlink>
    </w:p>
    <w:p>
      <w:pPr>
        <w:pStyle w:val="Style16"/>
        <w:widowControl/>
        <w:numPr>
          <w:ilvl w:val="0"/>
          <w:numId w:val="0"/>
        </w:numPr>
        <w:bidi w:val="0"/>
        <w:spacing w:before="0" w:after="0"/>
        <w:ind w:left="2121" w:hanging="0"/>
        <w:jc w:val="left"/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pPr>
      <w:r>
        <w:rPr>
          <w:rFonts w:ascii="PT Sans;sans-serif" w:hAnsi="PT Sans;sans-serif"/>
          <w:b w:val="false"/>
          <w:i w:val="false"/>
          <w:caps w:val="false"/>
          <w:smallCaps w:val="false"/>
          <w:strike w:val="false"/>
          <w:dstrike w:val="false"/>
          <w:color w:val="666699"/>
          <w:spacing w:val="0"/>
          <w:sz w:val="20"/>
          <w:u w:val="none"/>
          <w:effect w:val="none"/>
          <w:shd w:fill="auto" w:val="clear"/>
        </w:rPr>
      </w:r>
    </w:p>
    <w:p>
      <w:pPr>
        <w:pStyle w:val="Style16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0"/>
        <w:jc w:val="left"/>
        <w:rPr/>
      </w:pPr>
      <w:hyperlink r:id="rId16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Приложение N 2. Перечень медицинских противопоказаний к работам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17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I. Некоторые инфекционные и паразитарные болезни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18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II. Новообразования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19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III. Болезни крови, кроветворных органов и отдельные нарушения, вовлекающие иммунный механизм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0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IV. Болезни эндокринной системы, расстройства питания, нарушения обмена веществ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1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V. Психические расстройства и расстройства поведения - по перечням и в порядке, утвержденным Правительством Российской Федерации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2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VI. Болезни нервной системы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3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VII. Болезни глаза и его придаточного аппарата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4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VIII. Болезни уха и сосцевидного отростка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5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IX. Болезни системы кровообращения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6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X. Болезни органов дыхания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7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XI. Болезни органов пищеварения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8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XII. Болезни кожи и подкожной клетчатки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29">
        <w:r>
          <w:rPr>
            <w:rFonts w:ascii="PT Sans;sans-serif" w:hAnsi="PT Sans;sans-serif"/>
            <w:b w:val="false"/>
            <w:i w:val="false"/>
            <w:caps w:val="false"/>
            <w:smallCaps w:val="false"/>
            <w:color w:val="FF9900"/>
            <w:spacing w:val="0"/>
            <w:sz w:val="20"/>
            <w:u w:val="single"/>
            <w:shd w:fill="auto" w:val="clear"/>
          </w:rPr>
          <w:t>Класс XIII. Болезни костно-мышечной системы и соединительной ткани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30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XIV. Болезни мочеполовой системы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31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XV. Беременность, роды и послеродовой период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spacing w:before="0" w:after="0"/>
        <w:ind w:left="1414" w:hanging="0"/>
        <w:jc w:val="left"/>
        <w:rPr/>
      </w:pPr>
      <w:hyperlink r:id="rId32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XVII. Врожденные аномалии, деформации и хромосомные нарушения</w:t>
        </w:r>
      </w:hyperlink>
    </w:p>
    <w:p>
      <w:pPr>
        <w:pStyle w:val="Style16"/>
        <w:widowControl/>
        <w:numPr>
          <w:ilvl w:val="1"/>
          <w:numId w:val="2"/>
        </w:numPr>
        <w:tabs>
          <w:tab w:val="clear" w:pos="709"/>
          <w:tab w:val="left" w:pos="1414" w:leader="none"/>
        </w:tabs>
        <w:bidi w:val="0"/>
        <w:ind w:left="1414" w:hanging="0"/>
        <w:jc w:val="left"/>
        <w:rPr/>
      </w:pPr>
      <w:hyperlink r:id="rId33">
        <w:r>
          <w:rPr>
            <w:rFonts w:ascii="PT Sans;sans-serif" w:hAnsi="PT Sans;sans-serif"/>
            <w:b w:val="false"/>
            <w:i w:val="false"/>
            <w:caps w:val="false"/>
            <w:smallCaps w:val="false"/>
            <w:strike w:val="false"/>
            <w:dstrike w:val="false"/>
            <w:color w:val="666699"/>
            <w:spacing w:val="0"/>
            <w:sz w:val="20"/>
            <w:u w:val="none"/>
            <w:effect w:val="none"/>
            <w:shd w:fill="auto" w:val="clear"/>
          </w:rPr>
          <w:t>Класс XIX. Травмы, отравления и некоторые другие последствия воздействий внешних причин</w:t>
        </w:r>
      </w:hyperlink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PT Sans">
    <w:altName w:val="sans-serif"/>
    <w:charset w:val="cc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suff w:val="nothing"/>
      <w:lvlText w:val=""/>
      <w:lvlJc w:val="left"/>
      <w:pPr>
        <w:tabs>
          <w:tab w:val="num" w:pos="707"/>
        </w:tabs>
        <w:ind w:left="707" w:hanging="0"/>
      </w:pPr>
      <w:rPr>
        <w:rFonts w:ascii="Wingdings" w:hAnsi="Wingdings" w:cs="Wingdings" w:hint="default"/>
      </w:rPr>
    </w:lvl>
    <w:lvl w:ilvl="1">
      <w:start w:val="1"/>
      <w:numFmt w:val="bullet"/>
      <w:suff w:val="nothing"/>
      <w:lvlText w:val=""/>
      <w:lvlJc w:val="left"/>
      <w:pPr>
        <w:tabs>
          <w:tab w:val="num" w:pos="1414"/>
        </w:tabs>
        <w:ind w:left="1414" w:hanging="0"/>
      </w:pPr>
      <w:rPr>
        <w:rFonts w:ascii="Wingdings" w:hAnsi="Wingdings" w:cs="Wingdings" w:hint="default"/>
      </w:rPr>
    </w:lvl>
    <w:lvl w:ilvl="2">
      <w:start w:val="1"/>
      <w:numFmt w:val="bullet"/>
      <w:suff w:val="nothing"/>
      <w:lvlText w:val=""/>
      <w:lvlJc w:val="left"/>
      <w:pPr>
        <w:tabs>
          <w:tab w:val="num" w:pos="2121"/>
        </w:tabs>
        <w:ind w:left="2121" w:hanging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1">
    <w:name w:val="Heading 1"/>
    <w:basedOn w:val="Style15"/>
    <w:next w:val="Style16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onsultant.ru/document/cons_doc_LAW_375353/2ff7a8c72de3994f30496a0ccbb1ddafdaddf518/" TargetMode="External"/><Relationship Id="rId3" Type="http://schemas.openxmlformats.org/officeDocument/2006/relationships/hyperlink" Target="http://www.consultant.ru/document/cons_doc_LAW_375353/2ff7a8c72de3994f30496a0ccbb1ddafdaddf518/" TargetMode="External"/><Relationship Id="rId4" Type="http://schemas.openxmlformats.org/officeDocument/2006/relationships/hyperlink" Target="http://www.consultant.ru/document/cons_doc_LAW_375353/2ff7a8c72de3994f30496a0ccbb1ddafdaddf518/" TargetMode="External"/><Relationship Id="rId5" Type="http://schemas.openxmlformats.org/officeDocument/2006/relationships/hyperlink" Target="http://www.consultant.ru/document/cons_doc_LAW_375353/1909b30455fc0eb4c1cfa6dc7b7029f36dabea77/" TargetMode="External"/><Relationship Id="rId6" Type="http://schemas.openxmlformats.org/officeDocument/2006/relationships/hyperlink" Target="http://www.consultant.ru/document/cons_doc_LAW_375353/f3a56a2238c2a712069a50a58936a52fa32fa118/" TargetMode="External"/><Relationship Id="rId7" Type="http://schemas.openxmlformats.org/officeDocument/2006/relationships/hyperlink" Target="http://www.consultant.ru/document/cons_doc_LAW_375353/b0592dfd522aad60fee047be16b9986137451c06/" TargetMode="External"/><Relationship Id="rId8" Type="http://schemas.openxmlformats.org/officeDocument/2006/relationships/hyperlink" Target="http://www.consultant.ru/document/cons_doc_LAW_375353/97e037080d7df49443822deb6087d3281805db04/" TargetMode="External"/><Relationship Id="rId9" Type="http://schemas.openxmlformats.org/officeDocument/2006/relationships/hyperlink" Target="http://www.consultant.ru/document/cons_doc_LAW_375353/f0e59583535b88589c7fb500d5479e6fd51fd350/" TargetMode="External"/><Relationship Id="rId10" Type="http://schemas.openxmlformats.org/officeDocument/2006/relationships/hyperlink" Target="http://www.consultant.ru/document/cons_doc_LAW_375353/c54bf6a9b79ae804dacade649b421009b6b98ae9/" TargetMode="External"/><Relationship Id="rId11" Type="http://schemas.openxmlformats.org/officeDocument/2006/relationships/hyperlink" Target="http://www.consultant.ru/document/cons_doc_LAW_375353/8000e7a60465da85265a35c74bbe83ff3c251912/" TargetMode="External"/><Relationship Id="rId12" Type="http://schemas.openxmlformats.org/officeDocument/2006/relationships/hyperlink" Target="http://www.consultant.ru/document/cons_doc_LAW_375353/919c3e6af3acebbd7c3a61a21a7d7a4afc4de02c/" TargetMode="External"/><Relationship Id="rId13" Type="http://schemas.openxmlformats.org/officeDocument/2006/relationships/hyperlink" Target="http://www.consultant.ru/document/cons_doc_LAW_375353/c956b2ba1e286ccda096741e652894ea3dd032db/" TargetMode="External"/><Relationship Id="rId14" Type="http://schemas.openxmlformats.org/officeDocument/2006/relationships/hyperlink" Target="http://www.consultant.ru/document/cons_doc_LAW_375353/f7231d0fe4e77c309d94973b463724141edec486/" TargetMode="External"/><Relationship Id="rId15" Type="http://schemas.openxmlformats.org/officeDocument/2006/relationships/hyperlink" Target="http://www.consultant.ru/document/cons_doc_LAW_375353/140559d3bb863371e68b9c8dd197e2cb4a7b5283/" TargetMode="External"/><Relationship Id="rId16" Type="http://schemas.openxmlformats.org/officeDocument/2006/relationships/hyperlink" Target="http://www.consultant.ru/document/cons_doc_LAW_375353/28e2c9bd03b1e231bc59226a5e69d49cdaa3e8ad/" TargetMode="External"/><Relationship Id="rId17" Type="http://schemas.openxmlformats.org/officeDocument/2006/relationships/hyperlink" Target="http://www.consultant.ru/document/cons_doc_LAW_375353/dac7de81628a30d487073169676b959d59ccf5ea/" TargetMode="External"/><Relationship Id="rId18" Type="http://schemas.openxmlformats.org/officeDocument/2006/relationships/hyperlink" Target="http://www.consultant.ru/document/cons_doc_LAW_375353/eba040f3229fc9463bb5a7b7017c668f32828cd3/" TargetMode="External"/><Relationship Id="rId19" Type="http://schemas.openxmlformats.org/officeDocument/2006/relationships/hyperlink" Target="http://www.consultant.ru/document/cons_doc_LAW_375353/a940363181cf194ec9540b746041d60c1cac2a72/" TargetMode="External"/><Relationship Id="rId20" Type="http://schemas.openxmlformats.org/officeDocument/2006/relationships/hyperlink" Target="http://www.consultant.ru/document/cons_doc_LAW_375353/9206d1ee6aea5cbc3a30bc789f7b709c68a4623f/" TargetMode="External"/><Relationship Id="rId21" Type="http://schemas.openxmlformats.org/officeDocument/2006/relationships/hyperlink" Target="http://www.consultant.ru/document/cons_doc_LAW_375353/d332bb76146516ccb6a79885dc901e8535375650/" TargetMode="External"/><Relationship Id="rId22" Type="http://schemas.openxmlformats.org/officeDocument/2006/relationships/hyperlink" Target="http://www.consultant.ru/document/cons_doc_LAW_375353/7057f849d768dfd0630fba373fa12861fe88ffd1/" TargetMode="External"/><Relationship Id="rId23" Type="http://schemas.openxmlformats.org/officeDocument/2006/relationships/hyperlink" Target="http://www.consultant.ru/document/cons_doc_LAW_375353/44900c87ada1b9d1409f17ad0c19f42e7595dfa2/" TargetMode="External"/><Relationship Id="rId24" Type="http://schemas.openxmlformats.org/officeDocument/2006/relationships/hyperlink" Target="http://www.consultant.ru/document/cons_doc_LAW_375353/b5eacb49e836a13bd6105a7139d1b1f3308d6c1f/" TargetMode="External"/><Relationship Id="rId25" Type="http://schemas.openxmlformats.org/officeDocument/2006/relationships/hyperlink" Target="http://www.consultant.ru/document/cons_doc_LAW_375353/2228651c8e9edfbd6e76f0f886e457eca6443c26/" TargetMode="External"/><Relationship Id="rId26" Type="http://schemas.openxmlformats.org/officeDocument/2006/relationships/hyperlink" Target="http://www.consultant.ru/document/cons_doc_LAW_375353/475e950451bcc6626f324d26152256c21144953f/" TargetMode="External"/><Relationship Id="rId27" Type="http://schemas.openxmlformats.org/officeDocument/2006/relationships/hyperlink" Target="http://www.consultant.ru/document/cons_doc_LAW_375353/f6dc6ce287bf46da93e7bbbdcbc290aa6b2801a6/" TargetMode="External"/><Relationship Id="rId28" Type="http://schemas.openxmlformats.org/officeDocument/2006/relationships/hyperlink" Target="http://www.consultant.ru/document/cons_doc_LAW_375353/b4f04dfadc134c96b0264486dc09abad1de76dd6/" TargetMode="External"/><Relationship Id="rId29" Type="http://schemas.openxmlformats.org/officeDocument/2006/relationships/hyperlink" Target="http://www.consultant.ru/document/cons_doc_LAW_375353/9f730210e028f9fc187b9e2aef5a458637963486/" TargetMode="External"/><Relationship Id="rId30" Type="http://schemas.openxmlformats.org/officeDocument/2006/relationships/hyperlink" Target="http://www.consultant.ru/document/cons_doc_LAW_375353/e478d76516dd788f2f57ddab12344fc56121fff3/" TargetMode="External"/><Relationship Id="rId31" Type="http://schemas.openxmlformats.org/officeDocument/2006/relationships/hyperlink" Target="http://www.consultant.ru/document/cons_doc_LAW_375353/9550c585945f69f7b25bf3708aa87221598a4331/" TargetMode="External"/><Relationship Id="rId32" Type="http://schemas.openxmlformats.org/officeDocument/2006/relationships/hyperlink" Target="http://www.consultant.ru/document/cons_doc_LAW_375353/d8303780c140b6302b31808f8f058978efc92ea9/" TargetMode="External"/><Relationship Id="rId33" Type="http://schemas.openxmlformats.org/officeDocument/2006/relationships/hyperlink" Target="http://www.consultant.ru/document/cons_doc_LAW_375353/14ae3e2f41ddc1034f0c388762acfb9508e47a13/" TargetMode="External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LibreOffice/7.0.5.2$Windows_X86_64 LibreOffice_project/64390860c6cd0aca4beafafcfd84613dd9dfb63a</Application>
  <AppVersion>15.0000</AppVersion>
  <Pages>2</Pages>
  <Words>324</Words>
  <Characters>2140</Characters>
  <CharactersWithSpaces>2397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2021-07-15T05:55:11Z</dcterms:modified>
  <cp:revision>3</cp:revision>
  <dc:subject/>
  <dc:title/>
</cp:coreProperties>
</file>