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E2" w:rsidRPr="000A0ADF" w:rsidRDefault="00C5263A" w:rsidP="00181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AD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0A0ADF">
        <w:rPr>
          <w:rFonts w:ascii="Times New Roman" w:hAnsi="Times New Roman" w:cs="Times New Roman"/>
          <w:b/>
          <w:sz w:val="28"/>
          <w:szCs w:val="28"/>
        </w:rPr>
        <w:t>блокчейн</w:t>
      </w:r>
      <w:proofErr w:type="spellEnd"/>
    </w:p>
    <w:p w:rsidR="00C5263A" w:rsidRDefault="00C5263A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это просто журнал, в котором каждая запись, кроме первой, содержит некоторую последовательность, каким-либо образом идентифицирующую предыдущую запись. Она называется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хэширующей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последовательностью или просто «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хэшем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». Всё. </w:t>
      </w:r>
      <w:proofErr w:type="gramStart"/>
      <w:r w:rsidRPr="00181AB2">
        <w:rPr>
          <w:rFonts w:ascii="Times New Roman" w:hAnsi="Times New Roman" w:cs="Times New Roman"/>
          <w:sz w:val="24"/>
          <w:szCs w:val="24"/>
        </w:rPr>
        <w:t xml:space="preserve">Если у вас есть список записей, в каждой из которых есть ссылка на предыдущую, то это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AB2">
        <w:rPr>
          <w:rFonts w:ascii="Times New Roman" w:hAnsi="Times New Roman" w:cs="Times New Roman"/>
          <w:sz w:val="24"/>
          <w:szCs w:val="24"/>
        </w:rPr>
        <w:t xml:space="preserve"> И не надо никакой зауми про «цепочки транзакций» и прочую ерунду. В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можно записывать всё, что захочется, а не только транзакции. Но обычно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представляет собой реестр, чаще всего распределённый по множеству баз данных. В каждой записи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кроме первой, есть специальное служебное поле, которое содержит идентификатор предыдущей записи. Поэтому получается как бы такая связанная цепочка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каждая новая запись ссылается </w:t>
      </w:r>
      <w:proofErr w:type="gramStart"/>
      <w:r w:rsidRPr="00181A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1AB2">
        <w:rPr>
          <w:rFonts w:ascii="Times New Roman" w:hAnsi="Times New Roman" w:cs="Times New Roman"/>
          <w:sz w:val="24"/>
          <w:szCs w:val="24"/>
        </w:rPr>
        <w:t xml:space="preserve"> предыдущую.</w:t>
      </w:r>
    </w:p>
    <w:p w:rsidR="00C5263A" w:rsidRPr="00181AB2" w:rsidRDefault="00C5263A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это распределенная база данных, которая содержит информацию обо всех транзакциях, проведенных участниками системы. Информация хранится в виде цепочки блоков. В каждом из них записано определенное число транзакций.</w:t>
      </w:r>
    </w:p>
    <w:p w:rsidR="00C5263A" w:rsidRPr="00181AB2" w:rsidRDefault="00C5263A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>Слово «распределенная» означает: нет никакой централизованной организации, которая бы проверяла этот процесс.</w:t>
      </w:r>
    </w:p>
    <w:p w:rsidR="00C5263A" w:rsidRPr="00181AB2" w:rsidRDefault="00C5263A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По мнению Банка Англии,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«технология, позволяющая людям, которые не знают друг друга,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доверенно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и совместно использовать запись событий». Невозможно скрытно подделать данные внутри этой системы, поэтому она признана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>-стойкой.</w:t>
      </w:r>
    </w:p>
    <w:p w:rsidR="00C5263A" w:rsidRPr="00181AB2" w:rsidRDefault="00C5263A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Аналогия с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блокчейном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ожерелье. Каждая бусина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это «блок» или запись действия. Это ожерелье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или «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» (цепь)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не может быть уничтожено или разрушено. Таким образом,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="000A0ADF">
        <w:rPr>
          <w:rFonts w:ascii="Times New Roman" w:hAnsi="Times New Roman" w:cs="Times New Roman"/>
          <w:sz w:val="24"/>
          <w:szCs w:val="24"/>
        </w:rPr>
        <w:t xml:space="preserve"> </w:t>
      </w:r>
      <w:r w:rsidRPr="00181AB2">
        <w:rPr>
          <w:rFonts w:ascii="Times New Roman" w:hAnsi="Times New Roman" w:cs="Times New Roman"/>
          <w:sz w:val="24"/>
          <w:szCs w:val="24"/>
        </w:rPr>
        <w:t>это нерушимая цифровая запись действий. Надежность этой системы позволила использовать ее для повышения эффективности денежных операций и обмена информацией среди частных лиц, корпораций и даже госсектора.</w:t>
      </w:r>
    </w:p>
    <w:p w:rsid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имеет национального происхождения, у него сетевое «гражданство». История термина началась в 2008 году, когда аноним или группа лиц, скрывшихся под псевдонимом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Сатоши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Накамото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опубликовали статью, ставшую манифестом этой инновационной технологии. В статье описывались ее сущностные характеристики и возможности создания децентрализованной системы денежных расчетов.</w:t>
      </w:r>
    </w:p>
    <w:p w:rsid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последние годы было много версий того, кто мог быть автором этого манифеста. Убедительны некоторые доказательства в пользу его русскоязычного происхождения. Первый блок был сгенерирован в 2009 году, а на сегодня только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криптоинструментов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разных модификаций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мире циркулирует свыше 2 тыс. видов.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B2">
        <w:rPr>
          <w:rFonts w:ascii="Times New Roman" w:hAnsi="Times New Roman" w:cs="Times New Roman"/>
          <w:sz w:val="24"/>
          <w:szCs w:val="24"/>
        </w:rPr>
        <w:lastRenderedPageBreak/>
        <w:t>Биткоин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исторически первое и наиболее известное применение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-технологии. Транзакции в нем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это переводы средств между кошельками пользователей. Каждому участнику доступна информация о любой из транзакций, когда-либо происходивших в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>, начиная с первого перевода в 2009 году.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Как первое применение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биткоин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поспособствовал глобальному росту популярности этой технологии и ознакомил мир с ее преимуществами. Но впоследствии в процессе развития на базе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и его модификаций появились и другие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а также другие, не связанные с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криптоинструментами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формы эффективного использования этой технологии.</w:t>
      </w:r>
    </w:p>
    <w:p w:rsidR="003B14B7" w:rsidRPr="00181AB2" w:rsidRDefault="003B14B7" w:rsidP="00181A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Сферы применения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риптовалюта</w:t>
      </w:r>
      <w:proofErr w:type="spellEnd"/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увеличивает скорость обмена, уменьшает временные затраты, улучшает качество, надежность и доступность услуг. При этом увеличивается прозрачность и надежность, снижаются риски.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Главная сфера применения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криптоиндустрия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. Но помимо этого проекты на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блокчейне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используются в банковском секторе, сфере финансовых услуг, платежных сервисах, госсекторе (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реестры недвижимости, нотариат, электронное голосование и др.), транспорте и логистике,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>, здравоохранении, управлении интеллектуальной собственностью, энергетике, и т. д.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криптоиндустрии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стал технологической основой для выпуска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криптовалют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1AB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81AB2">
        <w:rPr>
          <w:rFonts w:ascii="Times New Roman" w:hAnsi="Times New Roman" w:cs="Times New Roman"/>
          <w:sz w:val="24"/>
          <w:szCs w:val="24"/>
        </w:rPr>
        <w:t xml:space="preserve"> являются осовремененной версией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хайековских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«частных денег». При этом крупнейшие из них, такие как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биткоин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и эфир, имеют глобальный характер обращения.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B2">
        <w:rPr>
          <w:rFonts w:ascii="Times New Roman" w:hAnsi="Times New Roman" w:cs="Times New Roman"/>
          <w:sz w:val="24"/>
          <w:szCs w:val="24"/>
        </w:rPr>
        <w:t xml:space="preserve">На основе этой технологии происходит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токенизация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. Выпуск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это особая форма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секьюритизации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активов на базе массового и глобального спроса инвесторов. Снижение издержек при этом гораздо значительнее, по сравнению с процедурами традиционных финансовых рынков.</w:t>
      </w:r>
    </w:p>
    <w:p w:rsidR="003B14B7" w:rsidRPr="00181AB2" w:rsidRDefault="003B14B7" w:rsidP="00181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Сферы применения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банковское дело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позволяет сделать все процессы в банковской индустрии безопаснее, надежнее и прозрачнее. Денежные переводы, расчеты при сделках с ценными бумагами, аккредитивы, KYC-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, рутинная работа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-офисов банков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sz w:val="24"/>
          <w:szCs w:val="24"/>
        </w:rPr>
        <w:t xml:space="preserve"> все эти операции теперь проходят с внедрением этой технологии.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может сократить затраты банков до 50%. Об этом заявляли еще в 2017 г. аналитики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Morgan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. По их мнению,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мог бы оптимизировать инфраструктуру, радикально сократить затраты и обеспечить необходимое повышение </w:t>
      </w:r>
      <w:proofErr w:type="spellStart"/>
      <w:r w:rsidRPr="00181AB2">
        <w:rPr>
          <w:rFonts w:ascii="Times New Roman" w:hAnsi="Times New Roman" w:cs="Times New Roman"/>
          <w:sz w:val="24"/>
          <w:szCs w:val="24"/>
        </w:rPr>
        <w:t>RoE</w:t>
      </w:r>
      <w:proofErr w:type="spellEnd"/>
      <w:r w:rsidRPr="00181AB2">
        <w:rPr>
          <w:rFonts w:ascii="Times New Roman" w:hAnsi="Times New Roman" w:cs="Times New Roman"/>
          <w:sz w:val="24"/>
          <w:szCs w:val="24"/>
        </w:rPr>
        <w:t xml:space="preserve"> (доходности собственного капитала) банков. Многим банкам, несмотря на присущую </w:t>
      </w:r>
      <w:r w:rsidRPr="00181AB2">
        <w:rPr>
          <w:rFonts w:ascii="Times New Roman" w:hAnsi="Times New Roman" w:cs="Times New Roman"/>
          <w:sz w:val="24"/>
          <w:szCs w:val="24"/>
        </w:rPr>
        <w:lastRenderedPageBreak/>
        <w:t>им консервативность, опасно было бы недооценивать потенциал этой технологии. Повсеместное ее внедрение может привести к ликвидации некоторых участников мировой финансовой системы.</w:t>
      </w:r>
    </w:p>
    <w:p w:rsidR="003B14B7" w:rsidRPr="00181AB2" w:rsidRDefault="003B14B7" w:rsidP="00181A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Сферы применения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</w:rPr>
        <w:t>кибербезопасность</w:t>
      </w:r>
      <w:proofErr w:type="spellEnd"/>
    </w:p>
    <w:p w:rsid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каждом узле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-системы хранятся копии всей базы данных в целом, и они сверяются между собой. Это придает системе жизнеспособность даже в случае успешных хакерских атак на ее одиночные узлы. Несмотря на то, что приложения на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блокчейне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предлагают анонимность, технология может использоваться, чтобы прикреплять реальные идентификационные данные к </w:t>
      </w:r>
      <w:proofErr w:type="gram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криптографическим</w:t>
      </w:r>
      <w:proofErr w:type="gram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базе данных.</w:t>
      </w:r>
    </w:p>
    <w:p w:rsid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Известен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стартап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создавший удобный способ безопасного внесения данных, их отслеживания и </w:t>
      </w:r>
      <w:proofErr w:type="gram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передачи</w:t>
      </w:r>
      <w:proofErr w:type="gram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имущественных прав через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-платформу. Это помогает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риэлторским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фирмам: управление записями становится удобнее, сокращается время поиска, растет конфиденциальность и прозрачность. Другой кейс </w:t>
      </w:r>
      <w:r w:rsidR="000A0ADF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репутации интернет-юзеров, начисляющая денежное вознаграждение в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криптовалюте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эфир, исходя из показателей репутации.</w:t>
      </w:r>
    </w:p>
    <w:p w:rsidR="003B14B7" w:rsidRPr="00181AB2" w:rsidRDefault="003B14B7" w:rsidP="00181A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Сферы применения </w:t>
      </w:r>
      <w:proofErr w:type="spellStart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удостоверения личности</w:t>
      </w:r>
    </w:p>
    <w:p w:rsidR="003B14B7" w:rsidRPr="00181AB2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proofErr w:type="gram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 представляют собой перевод персональных данных о человеке на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создание его цифрового профиля. Есть большой перечень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доступ к которым может быть осуществлен посредством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есть статистика передовых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-стран (Эстония, некоторые эмират</w:t>
      </w:r>
      <w:proofErr w:type="gram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ОАЭ</w:t>
      </w:r>
      <w:proofErr w:type="gram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Использование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gram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активным гражданином может стать обычным паттерном поведения уже при жизни современного поколения.</w:t>
      </w:r>
    </w:p>
    <w:p w:rsidR="003B14B7" w:rsidRDefault="003B14B7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России, и на Западе государства в последние десятилетия активно ищут пути оптимизации своей административной деятельности. Хорошим решением для этого было бы перевести в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рутинные и архаичные процессы. Проблематику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прайваси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защиты информационной безопасности при этом никто с повестки дня не снимал </w:t>
      </w:r>
      <w:r w:rsidR="00181AB2">
        <w:rPr>
          <w:rFonts w:ascii="Times New Roman" w:hAnsi="Times New Roman" w:cs="Times New Roman"/>
          <w:sz w:val="24"/>
          <w:szCs w:val="24"/>
        </w:rPr>
        <w:t>–</w:t>
      </w:r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напротив, в эру </w:t>
      </w:r>
      <w:proofErr w:type="spellStart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блокчейна</w:t>
      </w:r>
      <w:proofErr w:type="spellEnd"/>
      <w:r w:rsidRPr="00181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станет приоритетом.</w:t>
      </w:r>
    </w:p>
    <w:p w:rsidR="00181AB2" w:rsidRPr="00181AB2" w:rsidRDefault="00181AB2" w:rsidP="00181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1AB2" w:rsidRPr="00973698" w:rsidRDefault="00181AB2" w:rsidP="00181AB2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Экспертное мнение подготовили ведущие рубрики «Права и обязанности: общий взгляд»</w:t>
      </w:r>
    </w:p>
    <w:p w:rsidR="00181AB2" w:rsidRPr="00973698" w:rsidRDefault="00181AB2" w:rsidP="00181AB2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заведующий кафедрой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 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О.А. </w:t>
      </w:r>
      <w:proofErr w:type="spellStart"/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Астафурова</w:t>
      </w:r>
      <w:proofErr w:type="spellEnd"/>
    </w:p>
    <w:p w:rsidR="00181AB2" w:rsidRPr="00973698" w:rsidRDefault="00181AB2" w:rsidP="00181AB2">
      <w:pPr>
        <w:shd w:val="clear" w:color="auto" w:fill="FFFFFF"/>
        <w:spacing w:after="0" w:line="24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доцент кафедры 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Н.А. Сальникова</w:t>
      </w:r>
    </w:p>
    <w:p w:rsidR="003B14B7" w:rsidRPr="003B14B7" w:rsidRDefault="003B14B7" w:rsidP="003B14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B14B7" w:rsidRDefault="003B14B7" w:rsidP="003B14B7"/>
    <w:sectPr w:rsidR="003B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BD9"/>
    <w:multiLevelType w:val="hybridMultilevel"/>
    <w:tmpl w:val="9B94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6BB2"/>
    <w:multiLevelType w:val="hybridMultilevel"/>
    <w:tmpl w:val="B2C8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026D"/>
    <w:multiLevelType w:val="hybridMultilevel"/>
    <w:tmpl w:val="9560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03C1"/>
    <w:multiLevelType w:val="hybridMultilevel"/>
    <w:tmpl w:val="6D36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3A"/>
    <w:rsid w:val="000471F4"/>
    <w:rsid w:val="000A0ADF"/>
    <w:rsid w:val="00181AB2"/>
    <w:rsid w:val="003B14B7"/>
    <w:rsid w:val="006F1BBF"/>
    <w:rsid w:val="00B91EE2"/>
    <w:rsid w:val="00C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4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4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4</cp:revision>
  <dcterms:created xsi:type="dcterms:W3CDTF">2023-01-09T10:37:00Z</dcterms:created>
  <dcterms:modified xsi:type="dcterms:W3CDTF">2023-01-09T11:02:00Z</dcterms:modified>
</cp:coreProperties>
</file>