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4ED" w:rsidRPr="00F503D7" w:rsidRDefault="001D74ED" w:rsidP="004E6D2C">
      <w:pPr>
        <w:ind w:right="-567"/>
        <w:jc w:val="right"/>
        <w:rPr>
          <w:b/>
        </w:rPr>
      </w:pPr>
      <w:r w:rsidRPr="00F503D7">
        <w:rPr>
          <w:b/>
        </w:rPr>
        <w:t>Приложение № 1</w:t>
      </w:r>
    </w:p>
    <w:p w:rsidR="001D74ED" w:rsidRPr="00F503D7" w:rsidRDefault="001D74ED" w:rsidP="004E6D2C">
      <w:pPr>
        <w:ind w:right="-567"/>
        <w:jc w:val="right"/>
      </w:pPr>
      <w:r w:rsidRPr="00F503D7">
        <w:t xml:space="preserve">к Договору на брокерское обслуживание № _____ </w:t>
      </w:r>
    </w:p>
    <w:p w:rsidR="001D74ED" w:rsidRPr="00F503D7" w:rsidRDefault="001D74ED" w:rsidP="004E6D2C">
      <w:pPr>
        <w:ind w:right="-567"/>
        <w:jc w:val="right"/>
      </w:pPr>
      <w:r w:rsidRPr="00F503D7">
        <w:t>от «__» ___________ 20__ г.</w:t>
      </w:r>
    </w:p>
    <w:p w:rsidR="001D74ED" w:rsidRDefault="001D74ED" w:rsidP="004E6D2C">
      <w:pPr>
        <w:jc w:val="center"/>
        <w:rPr>
          <w:b/>
          <w:sz w:val="20"/>
          <w:szCs w:val="20"/>
        </w:rPr>
      </w:pPr>
      <w:bookmarkStart w:id="0" w:name="_GoBack"/>
      <w:bookmarkEnd w:id="0"/>
    </w:p>
    <w:p w:rsidR="001D74ED" w:rsidRDefault="001D74ED" w:rsidP="004E6D2C">
      <w:pPr>
        <w:jc w:val="center"/>
        <w:rPr>
          <w:b/>
          <w:sz w:val="20"/>
          <w:szCs w:val="20"/>
        </w:rPr>
      </w:pPr>
    </w:p>
    <w:p w:rsidR="001D74ED" w:rsidRPr="00122E19" w:rsidRDefault="001D74ED" w:rsidP="004E6D2C">
      <w:pPr>
        <w:jc w:val="center"/>
        <w:rPr>
          <w:b/>
          <w:sz w:val="20"/>
          <w:szCs w:val="20"/>
        </w:rPr>
      </w:pPr>
      <w:r w:rsidRPr="00122E19">
        <w:rPr>
          <w:b/>
          <w:sz w:val="20"/>
          <w:szCs w:val="20"/>
        </w:rPr>
        <w:t>УВЕДОМЛЕНИЕ (ДЕКЛАРАЦИЯ) О РИСКАХ,</w:t>
      </w:r>
    </w:p>
    <w:p w:rsidR="001D74ED" w:rsidRPr="00122E19" w:rsidRDefault="001D74ED" w:rsidP="004E6D2C">
      <w:pPr>
        <w:jc w:val="center"/>
        <w:rPr>
          <w:b/>
          <w:sz w:val="20"/>
          <w:szCs w:val="20"/>
        </w:rPr>
      </w:pPr>
      <w:r w:rsidRPr="00122E19">
        <w:rPr>
          <w:b/>
          <w:sz w:val="20"/>
          <w:szCs w:val="20"/>
        </w:rPr>
        <w:t xml:space="preserve">СВЯЗАННЫХ С ОСУЩЕСТВЛЕНИЕМ ОПЕРАЦИЙ НА РЫНКЕ ЦЕННЫХ БУМАГ </w:t>
      </w:r>
    </w:p>
    <w:p w:rsidR="001D74ED" w:rsidRPr="00122E19" w:rsidRDefault="001D74ED" w:rsidP="004E6D2C">
      <w:pPr>
        <w:jc w:val="center"/>
        <w:rPr>
          <w:b/>
          <w:sz w:val="20"/>
          <w:szCs w:val="20"/>
        </w:rPr>
      </w:pPr>
      <w:r w:rsidRPr="00122E19">
        <w:rPr>
          <w:b/>
          <w:sz w:val="20"/>
          <w:szCs w:val="20"/>
        </w:rPr>
        <w:t xml:space="preserve"> (В ТОМ ЧИСЛЕ – НА ВАЛЮТНОЙ СЕКЦИИ, А ТАКЖЕ ПРИ СОВЕРШЕНИИ СДЕЛОК, ПРИВОДЯЩИХ К ВОЗНИКНОВЕНИЮ НЕПОКРЫТЫХ ПОЗИЦИЙ)</w:t>
      </w:r>
    </w:p>
    <w:p w:rsidR="001D74ED" w:rsidRPr="00122E19" w:rsidRDefault="001D74ED" w:rsidP="004E6D2C">
      <w:pPr>
        <w:jc w:val="center"/>
        <w:rPr>
          <w:b/>
          <w:sz w:val="20"/>
          <w:szCs w:val="20"/>
        </w:rPr>
      </w:pPr>
    </w:p>
    <w:p w:rsidR="001D74ED" w:rsidRPr="00122E19" w:rsidRDefault="001D74ED" w:rsidP="004E6D2C">
      <w:pPr>
        <w:ind w:right="-186" w:firstLine="540"/>
        <w:jc w:val="both"/>
        <w:rPr>
          <w:sz w:val="20"/>
          <w:szCs w:val="20"/>
        </w:rPr>
      </w:pPr>
      <w:r w:rsidRPr="00122E19">
        <w:rPr>
          <w:sz w:val="20"/>
          <w:szCs w:val="20"/>
        </w:rPr>
        <w:t>Настоящее Уведомление (Декларация) предоставляется Клиенту в связи с его желанием осуществлять операции на российском фондовом рынке.</w:t>
      </w:r>
    </w:p>
    <w:p w:rsidR="001D74ED" w:rsidRPr="00122E19" w:rsidRDefault="001D74ED" w:rsidP="004E6D2C">
      <w:pPr>
        <w:ind w:right="-186" w:firstLine="540"/>
        <w:jc w:val="both"/>
        <w:rPr>
          <w:sz w:val="20"/>
          <w:szCs w:val="20"/>
        </w:rPr>
      </w:pPr>
      <w:r w:rsidRPr="00122E19">
        <w:rPr>
          <w:sz w:val="20"/>
          <w:szCs w:val="20"/>
        </w:rPr>
        <w:t xml:space="preserve">Обращаем внимание на, то, что настоящее Уведомление (Декларация) не может раскрыть все риски, связанные со сделками с ценными бумагами. Главная цель настоящего Уведомления (Декларации) – дать общее представление о рисках, которые сопряжены с работой на фондовом рынке, и предупредить Клиента о возможных убытках, связанных с подобного рода сделками. </w:t>
      </w:r>
    </w:p>
    <w:p w:rsidR="001D74ED" w:rsidRPr="00122E19" w:rsidRDefault="001D74ED" w:rsidP="004E6D2C">
      <w:pPr>
        <w:ind w:right="-186" w:firstLine="540"/>
        <w:jc w:val="both"/>
        <w:rPr>
          <w:sz w:val="20"/>
          <w:szCs w:val="20"/>
        </w:rPr>
      </w:pPr>
      <w:r w:rsidRPr="00122E19">
        <w:rPr>
          <w:sz w:val="20"/>
          <w:szCs w:val="20"/>
        </w:rPr>
        <w:t>Участие в операциях на российском фондовом рынке может нести в себе степень риска, определяющуюся возможными неблагоприятными изменениями многих параметров, не все из которых поддаются прогнозированию.</w:t>
      </w:r>
    </w:p>
    <w:p w:rsidR="001D74ED" w:rsidRPr="00122E19" w:rsidRDefault="001D74ED" w:rsidP="004E6D2C">
      <w:pPr>
        <w:ind w:right="-186" w:firstLine="540"/>
        <w:jc w:val="both"/>
        <w:rPr>
          <w:sz w:val="20"/>
          <w:szCs w:val="20"/>
        </w:rPr>
      </w:pPr>
      <w:r w:rsidRPr="00122E19">
        <w:rPr>
          <w:sz w:val="20"/>
          <w:szCs w:val="20"/>
        </w:rPr>
        <w:t xml:space="preserve">В первую очередь это параметры системного характера, являющиеся проявлением особенностей нынешних социально-политических условий развития Российской Федерации. </w:t>
      </w:r>
    </w:p>
    <w:p w:rsidR="001D74ED" w:rsidRPr="00122E19" w:rsidRDefault="001D74ED" w:rsidP="004E6D2C">
      <w:pPr>
        <w:ind w:right="-186" w:firstLine="540"/>
        <w:jc w:val="both"/>
        <w:rPr>
          <w:sz w:val="20"/>
          <w:szCs w:val="20"/>
        </w:rPr>
      </w:pPr>
      <w:r w:rsidRPr="00122E19">
        <w:rPr>
          <w:sz w:val="20"/>
          <w:szCs w:val="20"/>
        </w:rPr>
        <w:t>Риски, вытекающие из возможности ухудшения системных параметров, не связаны с каким-то конкретным инструментом финансового рынка. Они не могут быть объектом разумного воздействия и управления с нашей стороны, они не подлежат диверсификации и не понижаемы.</w:t>
      </w:r>
    </w:p>
    <w:p w:rsidR="001D74ED" w:rsidRPr="00122E19" w:rsidRDefault="001D74ED" w:rsidP="004E6D2C">
      <w:pPr>
        <w:ind w:right="-186" w:firstLine="540"/>
        <w:jc w:val="both"/>
        <w:rPr>
          <w:b/>
          <w:sz w:val="20"/>
          <w:szCs w:val="20"/>
        </w:rPr>
      </w:pPr>
      <w:r w:rsidRPr="00122E19">
        <w:rPr>
          <w:b/>
          <w:sz w:val="20"/>
          <w:szCs w:val="20"/>
        </w:rPr>
        <w:t>Системный риск</w:t>
      </w:r>
      <w:r w:rsidRPr="00122E19">
        <w:rPr>
          <w:sz w:val="20"/>
          <w:szCs w:val="20"/>
        </w:rPr>
        <w:t xml:space="preserve"> – риск, связан с функционированием системы в целом, будь то банковская система, депозитарная система, система торговли, система клиринга, рынок ценных бумаг как система, и прочие системы, влияющие каким-то образом на деятельность на рынке ценных бумаг.</w:t>
      </w:r>
    </w:p>
    <w:p w:rsidR="001D74ED" w:rsidRPr="00122E19" w:rsidRDefault="001D74ED" w:rsidP="004E6D2C">
      <w:pPr>
        <w:ind w:right="-186" w:firstLine="540"/>
        <w:jc w:val="both"/>
        <w:rPr>
          <w:sz w:val="20"/>
          <w:szCs w:val="20"/>
        </w:rPr>
      </w:pPr>
      <w:r w:rsidRPr="00122E19">
        <w:rPr>
          <w:sz w:val="20"/>
          <w:szCs w:val="20"/>
        </w:rPr>
        <w:t>К основным системным рискам мы относим:</w:t>
      </w:r>
    </w:p>
    <w:p w:rsidR="001D74ED" w:rsidRPr="00122E19" w:rsidRDefault="001D74ED" w:rsidP="004E6D2C">
      <w:pPr>
        <w:numPr>
          <w:ilvl w:val="0"/>
          <w:numId w:val="1"/>
        </w:numPr>
        <w:tabs>
          <w:tab w:val="clear" w:pos="1260"/>
          <w:tab w:val="num" w:pos="720"/>
        </w:tabs>
        <w:ind w:left="0" w:right="-186" w:firstLine="540"/>
        <w:jc w:val="both"/>
        <w:rPr>
          <w:sz w:val="20"/>
          <w:szCs w:val="20"/>
        </w:rPr>
      </w:pPr>
      <w:r w:rsidRPr="00122E19">
        <w:rPr>
          <w:b/>
          <w:i/>
          <w:sz w:val="20"/>
          <w:szCs w:val="20"/>
        </w:rPr>
        <w:t xml:space="preserve">социально-политический – </w:t>
      </w:r>
      <w:r w:rsidRPr="00122E19">
        <w:rPr>
          <w:sz w:val="20"/>
          <w:szCs w:val="20"/>
        </w:rPr>
        <w:t>риск радикального изменения политической ситуации (смена Президента, Парламента, Правительства), риск социальной нестабильности;</w:t>
      </w:r>
    </w:p>
    <w:p w:rsidR="001D74ED" w:rsidRPr="00122E19" w:rsidRDefault="001D74ED" w:rsidP="004E6D2C">
      <w:pPr>
        <w:numPr>
          <w:ilvl w:val="0"/>
          <w:numId w:val="1"/>
        </w:numPr>
        <w:tabs>
          <w:tab w:val="clear" w:pos="1260"/>
          <w:tab w:val="num" w:pos="720"/>
        </w:tabs>
        <w:ind w:left="0" w:right="-186" w:firstLine="540"/>
        <w:jc w:val="both"/>
        <w:rPr>
          <w:sz w:val="20"/>
          <w:szCs w:val="20"/>
        </w:rPr>
      </w:pPr>
      <w:r w:rsidRPr="00122E19">
        <w:rPr>
          <w:b/>
          <w:sz w:val="20"/>
          <w:szCs w:val="20"/>
        </w:rPr>
        <w:t xml:space="preserve">правовой – </w:t>
      </w:r>
      <w:r w:rsidRPr="00122E19">
        <w:rPr>
          <w:sz w:val="20"/>
          <w:szCs w:val="20"/>
        </w:rPr>
        <w:t>риск неблагоприятных изменений в российском законодательстве, или отсутствия нормативно-правовых актов, регулирующих деятельность на рынке ценных бумаг в каком-либо его секторе;</w:t>
      </w:r>
    </w:p>
    <w:p w:rsidR="001D74ED" w:rsidRPr="00122E19" w:rsidRDefault="001D74ED" w:rsidP="004E6D2C">
      <w:pPr>
        <w:numPr>
          <w:ilvl w:val="0"/>
          <w:numId w:val="1"/>
        </w:numPr>
        <w:tabs>
          <w:tab w:val="clear" w:pos="1260"/>
          <w:tab w:val="num" w:pos="720"/>
        </w:tabs>
        <w:ind w:left="0" w:right="-186" w:firstLine="540"/>
        <w:jc w:val="both"/>
        <w:rPr>
          <w:sz w:val="20"/>
          <w:szCs w:val="20"/>
        </w:rPr>
      </w:pPr>
      <w:r w:rsidRPr="00122E19">
        <w:rPr>
          <w:b/>
          <w:i/>
          <w:sz w:val="20"/>
          <w:szCs w:val="20"/>
        </w:rPr>
        <w:t>макро- и микроэкономический</w:t>
      </w:r>
      <w:r w:rsidRPr="00122E19">
        <w:rPr>
          <w:sz w:val="20"/>
          <w:szCs w:val="20"/>
        </w:rPr>
        <w:t xml:space="preserve"> – риски возникновения неблагоприятных событий экономического характера (резкая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и законодательного характера;</w:t>
      </w:r>
    </w:p>
    <w:p w:rsidR="001D74ED" w:rsidRPr="00122E19" w:rsidRDefault="001D74ED" w:rsidP="004E6D2C">
      <w:pPr>
        <w:numPr>
          <w:ilvl w:val="0"/>
          <w:numId w:val="1"/>
        </w:numPr>
        <w:tabs>
          <w:tab w:val="clear" w:pos="1260"/>
          <w:tab w:val="num" w:pos="720"/>
        </w:tabs>
        <w:ind w:left="0" w:right="-186" w:firstLine="540"/>
        <w:jc w:val="both"/>
        <w:rPr>
          <w:sz w:val="20"/>
          <w:szCs w:val="20"/>
        </w:rPr>
      </w:pPr>
      <w:r w:rsidRPr="00122E19">
        <w:rPr>
          <w:b/>
          <w:i/>
          <w:sz w:val="20"/>
          <w:szCs w:val="20"/>
        </w:rPr>
        <w:t>техногенный</w:t>
      </w:r>
      <w:r w:rsidRPr="00122E19">
        <w:rPr>
          <w:sz w:val="20"/>
          <w:szCs w:val="20"/>
        </w:rPr>
        <w:t xml:space="preserve"> – риск, порожденный хозяйственной деятельностью человека (аварийные ситуации, пожары и т.д.);</w:t>
      </w:r>
    </w:p>
    <w:p w:rsidR="001D74ED" w:rsidRPr="00122E19" w:rsidRDefault="001D74ED" w:rsidP="004E6D2C">
      <w:pPr>
        <w:numPr>
          <w:ilvl w:val="0"/>
          <w:numId w:val="1"/>
        </w:numPr>
        <w:tabs>
          <w:tab w:val="clear" w:pos="1260"/>
          <w:tab w:val="num" w:pos="720"/>
        </w:tabs>
        <w:ind w:left="0" w:right="-186" w:firstLine="540"/>
        <w:jc w:val="both"/>
        <w:rPr>
          <w:sz w:val="20"/>
          <w:szCs w:val="20"/>
        </w:rPr>
      </w:pPr>
      <w:r w:rsidRPr="00122E19">
        <w:rPr>
          <w:b/>
          <w:i/>
          <w:sz w:val="20"/>
          <w:szCs w:val="20"/>
        </w:rPr>
        <w:t>природный</w:t>
      </w:r>
      <w:r w:rsidRPr="00122E19">
        <w:rPr>
          <w:sz w:val="20"/>
          <w:szCs w:val="20"/>
        </w:rPr>
        <w:t xml:space="preserve"> – риск, не зависящий от деятельности человека (землетрясение, наводнение, ураган, тайфун, удар молнии и т.д.)</w:t>
      </w:r>
    </w:p>
    <w:p w:rsidR="001D74ED" w:rsidRPr="00122E19" w:rsidRDefault="001D74ED" w:rsidP="004E6D2C">
      <w:pPr>
        <w:ind w:right="-186" w:firstLine="540"/>
        <w:jc w:val="both"/>
        <w:rPr>
          <w:sz w:val="20"/>
          <w:szCs w:val="20"/>
        </w:rPr>
      </w:pPr>
      <w:r w:rsidRPr="00122E19">
        <w:rPr>
          <w:sz w:val="20"/>
          <w:szCs w:val="20"/>
        </w:rPr>
        <w:t xml:space="preserve">Особое внимание необходимо уделять рыночным (или финансовым) рискам, которые в отличие от рисков системных, носят более высокий вероятностный характер проявления и требуют более тщательного осмысления. </w:t>
      </w:r>
    </w:p>
    <w:p w:rsidR="001D74ED" w:rsidRPr="00122E19" w:rsidRDefault="001D74ED" w:rsidP="004E6D2C">
      <w:pPr>
        <w:ind w:right="-186" w:firstLine="540"/>
        <w:jc w:val="both"/>
        <w:rPr>
          <w:sz w:val="20"/>
          <w:szCs w:val="20"/>
        </w:rPr>
      </w:pPr>
      <w:r w:rsidRPr="00122E19">
        <w:rPr>
          <w:b/>
          <w:sz w:val="20"/>
          <w:szCs w:val="20"/>
        </w:rPr>
        <w:t xml:space="preserve">Рыночный (или финансовый) риск – </w:t>
      </w:r>
      <w:r w:rsidRPr="00122E19">
        <w:rPr>
          <w:sz w:val="20"/>
          <w:szCs w:val="20"/>
        </w:rPr>
        <w:t>риск возникновения убытков при осуществлении финансовых операций в связи с возможным неблагоприятным влиянием ряда факторов, из которых применительно к российскому фондовому рынку можно выделить следующее:</w:t>
      </w:r>
    </w:p>
    <w:p w:rsidR="001D74ED" w:rsidRPr="00122E19" w:rsidRDefault="001D74ED" w:rsidP="004E6D2C">
      <w:pPr>
        <w:numPr>
          <w:ilvl w:val="0"/>
          <w:numId w:val="3"/>
        </w:numPr>
        <w:tabs>
          <w:tab w:val="clear" w:pos="1260"/>
          <w:tab w:val="num" w:pos="0"/>
        </w:tabs>
        <w:ind w:left="0" w:right="-186" w:firstLine="540"/>
        <w:jc w:val="both"/>
        <w:rPr>
          <w:sz w:val="20"/>
          <w:szCs w:val="20"/>
        </w:rPr>
      </w:pPr>
      <w:r w:rsidRPr="00122E19">
        <w:rPr>
          <w:b/>
          <w:i/>
          <w:sz w:val="20"/>
          <w:szCs w:val="20"/>
        </w:rPr>
        <w:t xml:space="preserve">валютный риск – </w:t>
      </w:r>
      <w:r w:rsidRPr="00122E19">
        <w:rPr>
          <w:sz w:val="20"/>
          <w:szCs w:val="20"/>
        </w:rPr>
        <w:t>риск возможного неблагоприятного изменения курса рубля по отношению к иностранной валюте, при котором доходы от операций с ценными бумагами, равно как и инвестиции Клиента могут быть подвергнуты инфляционному воздействию (в смысле снижения реальной покупательной способности), вследствие чего он может потерять часть дохода, а в исключительных случаях и понести реальный ущерб;</w:t>
      </w:r>
    </w:p>
    <w:p w:rsidR="001D74ED" w:rsidRPr="00122E19" w:rsidRDefault="001D74ED" w:rsidP="004E6D2C">
      <w:pPr>
        <w:numPr>
          <w:ilvl w:val="0"/>
          <w:numId w:val="3"/>
        </w:numPr>
        <w:tabs>
          <w:tab w:val="clear" w:pos="1260"/>
          <w:tab w:val="num" w:pos="0"/>
        </w:tabs>
        <w:ind w:left="0" w:right="-186" w:firstLine="540"/>
        <w:jc w:val="both"/>
        <w:rPr>
          <w:sz w:val="20"/>
          <w:szCs w:val="20"/>
        </w:rPr>
      </w:pPr>
      <w:r w:rsidRPr="00122E19">
        <w:rPr>
          <w:b/>
          <w:i/>
          <w:sz w:val="20"/>
          <w:szCs w:val="20"/>
        </w:rPr>
        <w:t xml:space="preserve">процентный риск – </w:t>
      </w:r>
      <w:r w:rsidRPr="00122E19">
        <w:rPr>
          <w:sz w:val="20"/>
          <w:szCs w:val="20"/>
        </w:rPr>
        <w:t>риск потерь, которые Клиент может понести в результате неблагоприятного изменения рублевой процентной ставки, влияющей на курсовую стоимость облигаций с фиксированным доходом;</w:t>
      </w:r>
    </w:p>
    <w:p w:rsidR="001D74ED" w:rsidRPr="00122E19" w:rsidRDefault="001D74ED" w:rsidP="004E6D2C">
      <w:pPr>
        <w:numPr>
          <w:ilvl w:val="0"/>
          <w:numId w:val="3"/>
        </w:numPr>
        <w:tabs>
          <w:tab w:val="clear" w:pos="1260"/>
          <w:tab w:val="num" w:pos="0"/>
        </w:tabs>
        <w:ind w:left="0" w:right="-186" w:firstLine="540"/>
        <w:jc w:val="both"/>
        <w:rPr>
          <w:sz w:val="20"/>
          <w:szCs w:val="20"/>
        </w:rPr>
      </w:pPr>
      <w:r w:rsidRPr="00122E19">
        <w:rPr>
          <w:b/>
          <w:i/>
          <w:sz w:val="20"/>
          <w:szCs w:val="20"/>
        </w:rPr>
        <w:t>риск ликвидности</w:t>
      </w:r>
      <w:r w:rsidRPr="00122E19">
        <w:rPr>
          <w:b/>
          <w:sz w:val="20"/>
          <w:szCs w:val="20"/>
        </w:rPr>
        <w:t xml:space="preserve"> – </w:t>
      </w:r>
      <w:r w:rsidRPr="00122E19">
        <w:rPr>
          <w:sz w:val="20"/>
          <w:szCs w:val="20"/>
        </w:rPr>
        <w:t>риск, связанный с возможностью потерь при продаже ценных бумаг в связи с изменением оценки их инвестиционных качеств участниками рынка и снижения вероятности реализовать их по необходимой цене.</w:t>
      </w:r>
    </w:p>
    <w:p w:rsidR="001D74ED" w:rsidRPr="00122E19" w:rsidRDefault="001D74ED" w:rsidP="004E6D2C">
      <w:pPr>
        <w:ind w:right="-186" w:firstLine="540"/>
        <w:jc w:val="both"/>
        <w:rPr>
          <w:sz w:val="20"/>
          <w:szCs w:val="20"/>
        </w:rPr>
      </w:pPr>
      <w:r w:rsidRPr="00122E19">
        <w:rPr>
          <w:sz w:val="20"/>
          <w:szCs w:val="20"/>
        </w:rPr>
        <w:t>Данный риск может проявиться, в частности, при необходимости быстрого вывода средств с фондового рынка (ликвидации портфеля ценных бумаг).</w:t>
      </w:r>
    </w:p>
    <w:p w:rsidR="001D74ED" w:rsidRPr="00122E19" w:rsidRDefault="001D74ED" w:rsidP="004E6D2C">
      <w:pPr>
        <w:numPr>
          <w:ilvl w:val="0"/>
          <w:numId w:val="4"/>
        </w:numPr>
        <w:tabs>
          <w:tab w:val="clear" w:pos="1260"/>
          <w:tab w:val="num" w:pos="0"/>
        </w:tabs>
        <w:ind w:left="0" w:right="-186" w:firstLine="540"/>
        <w:jc w:val="both"/>
        <w:rPr>
          <w:sz w:val="20"/>
          <w:szCs w:val="20"/>
        </w:rPr>
      </w:pPr>
      <w:r w:rsidRPr="00122E19">
        <w:rPr>
          <w:b/>
          <w:i/>
          <w:sz w:val="20"/>
          <w:szCs w:val="20"/>
        </w:rPr>
        <w:t>ценовой риск</w:t>
      </w:r>
      <w:r w:rsidRPr="00122E19">
        <w:rPr>
          <w:b/>
          <w:sz w:val="20"/>
          <w:szCs w:val="20"/>
        </w:rPr>
        <w:t xml:space="preserve"> – </w:t>
      </w:r>
      <w:r w:rsidRPr="00122E19">
        <w:rPr>
          <w:sz w:val="20"/>
          <w:szCs w:val="20"/>
        </w:rPr>
        <w:t>риск, который может проявляться в неожиданном изменении цен на акции или облигации, которое может привести к падению стоимости Инвестиционного портфеля Клиента и, как следствие, снижению доходности или даже убыткам;</w:t>
      </w:r>
    </w:p>
    <w:p w:rsidR="001D74ED" w:rsidRPr="00122E19" w:rsidRDefault="001D74ED" w:rsidP="004E6D2C">
      <w:pPr>
        <w:numPr>
          <w:ilvl w:val="0"/>
          <w:numId w:val="4"/>
        </w:numPr>
        <w:tabs>
          <w:tab w:val="clear" w:pos="1260"/>
          <w:tab w:val="num" w:pos="0"/>
        </w:tabs>
        <w:ind w:left="0" w:right="-186" w:firstLine="540"/>
        <w:jc w:val="both"/>
        <w:rPr>
          <w:sz w:val="20"/>
          <w:szCs w:val="20"/>
        </w:rPr>
      </w:pPr>
      <w:r w:rsidRPr="00122E19">
        <w:rPr>
          <w:b/>
          <w:i/>
          <w:sz w:val="20"/>
          <w:szCs w:val="20"/>
        </w:rPr>
        <w:t xml:space="preserve">риск банкротства эмитента – </w:t>
      </w:r>
      <w:r w:rsidRPr="00122E19">
        <w:rPr>
          <w:sz w:val="20"/>
          <w:szCs w:val="20"/>
        </w:rPr>
        <w:t>заключается в возможности наступления неплатежеспособности эмитента ценной бумаги, что приведет к резкому падению цены (вплоть до полной потери ликвидности) на такую ценную бумагу (в случае с акциями) или невозможностью погасить её (в случае с облигациями). Применительно к акциям этот риск в наибольшей степени определяется финансовым положением и платежеспособностью предприятия-эмитента.</w:t>
      </w:r>
    </w:p>
    <w:p w:rsidR="001D74ED" w:rsidRPr="00122E19" w:rsidRDefault="001D74ED" w:rsidP="004E6D2C">
      <w:pPr>
        <w:numPr>
          <w:ilvl w:val="0"/>
          <w:numId w:val="4"/>
        </w:numPr>
        <w:tabs>
          <w:tab w:val="clear" w:pos="1260"/>
          <w:tab w:val="num" w:pos="0"/>
        </w:tabs>
        <w:ind w:left="0" w:right="-186" w:firstLine="540"/>
        <w:jc w:val="both"/>
        <w:rPr>
          <w:sz w:val="20"/>
          <w:szCs w:val="20"/>
        </w:rPr>
      </w:pPr>
      <w:r w:rsidRPr="00122E19">
        <w:rPr>
          <w:b/>
          <w:i/>
          <w:sz w:val="20"/>
          <w:szCs w:val="20"/>
        </w:rPr>
        <w:t xml:space="preserve">риск неправомерных действий – </w:t>
      </w:r>
      <w:r w:rsidRPr="00122E19">
        <w:rPr>
          <w:sz w:val="20"/>
          <w:szCs w:val="20"/>
        </w:rPr>
        <w:t>связан с возможностью неправомерных действий в отношении имущества инвестора и охраняемых законом прав инвестора со стороны третьих лиц, включая эмитента, регистратора, депозитария.</w:t>
      </w:r>
    </w:p>
    <w:p w:rsidR="001D74ED" w:rsidRPr="00122E19" w:rsidRDefault="001D74ED" w:rsidP="004E6D2C">
      <w:pPr>
        <w:numPr>
          <w:ilvl w:val="0"/>
          <w:numId w:val="4"/>
        </w:numPr>
        <w:tabs>
          <w:tab w:val="clear" w:pos="1260"/>
          <w:tab w:val="num" w:pos="0"/>
        </w:tabs>
        <w:ind w:left="0" w:right="-186" w:firstLine="540"/>
        <w:jc w:val="both"/>
        <w:rPr>
          <w:sz w:val="20"/>
          <w:szCs w:val="20"/>
        </w:rPr>
      </w:pPr>
      <w:r w:rsidRPr="00122E19">
        <w:rPr>
          <w:b/>
          <w:i/>
          <w:sz w:val="20"/>
          <w:szCs w:val="20"/>
        </w:rPr>
        <w:t xml:space="preserve">технический риск – </w:t>
      </w:r>
      <w:r w:rsidRPr="00122E19">
        <w:rPr>
          <w:sz w:val="20"/>
          <w:szCs w:val="20"/>
        </w:rPr>
        <w:t>является следствием общей неразвитости российского рынка ценных бумаг и заключается в возможности наступления потерь вследствие некачественного или недобросовестного исполнения своих обязательств участниками фондового рынка или банками, указанных в нем условиях в силу динамичного изменения параметров таких сделок в торговых системах.</w:t>
      </w:r>
    </w:p>
    <w:p w:rsidR="001D74ED" w:rsidRPr="00122E19" w:rsidRDefault="001D74ED" w:rsidP="004E6D2C">
      <w:pPr>
        <w:numPr>
          <w:ilvl w:val="0"/>
          <w:numId w:val="4"/>
        </w:numPr>
        <w:tabs>
          <w:tab w:val="clear" w:pos="1260"/>
          <w:tab w:val="num" w:pos="0"/>
        </w:tabs>
        <w:ind w:left="0" w:right="-186" w:firstLine="540"/>
        <w:jc w:val="both"/>
        <w:rPr>
          <w:sz w:val="20"/>
          <w:szCs w:val="20"/>
        </w:rPr>
      </w:pPr>
      <w:r w:rsidRPr="00122E19">
        <w:rPr>
          <w:b/>
          <w:i/>
          <w:sz w:val="20"/>
          <w:szCs w:val="20"/>
        </w:rPr>
        <w:t xml:space="preserve">риск при совершении  маржинальных сделок - </w:t>
      </w:r>
      <w:r w:rsidRPr="00122E19">
        <w:rPr>
          <w:sz w:val="20"/>
          <w:szCs w:val="20"/>
        </w:rPr>
        <w:t xml:space="preserve">при совершении  маржинальных сделок  на российском фондовом рынке Клиент несет такой же риск имущественных потерь или недополучения доходов, что и при обычной торговле на фондовом рынке, но при этом у него возникают некоторые дополнительные факторы, увеличивающие степень риска. </w:t>
      </w:r>
    </w:p>
    <w:p w:rsidR="001D74ED" w:rsidRPr="00122E19" w:rsidRDefault="001D74ED" w:rsidP="004E6D2C">
      <w:pPr>
        <w:ind w:right="-186" w:firstLine="540"/>
        <w:jc w:val="both"/>
        <w:rPr>
          <w:sz w:val="20"/>
          <w:szCs w:val="20"/>
        </w:rPr>
      </w:pPr>
      <w:r w:rsidRPr="00122E19">
        <w:rPr>
          <w:sz w:val="20"/>
          <w:szCs w:val="20"/>
        </w:rPr>
        <w:t>Подавая поручение на совершение маржинальной сделки:</w:t>
      </w:r>
    </w:p>
    <w:p w:rsidR="001D74ED" w:rsidRPr="00122E19" w:rsidRDefault="001D74ED" w:rsidP="004E6D2C">
      <w:pPr>
        <w:numPr>
          <w:ilvl w:val="0"/>
          <w:numId w:val="5"/>
        </w:numPr>
        <w:tabs>
          <w:tab w:val="clear" w:pos="1260"/>
          <w:tab w:val="num" w:pos="0"/>
        </w:tabs>
        <w:ind w:left="0" w:right="-186" w:firstLine="540"/>
        <w:jc w:val="both"/>
        <w:rPr>
          <w:sz w:val="20"/>
          <w:szCs w:val="20"/>
        </w:rPr>
      </w:pPr>
      <w:r w:rsidRPr="00122E19">
        <w:rPr>
          <w:sz w:val="20"/>
          <w:szCs w:val="20"/>
        </w:rPr>
        <w:t>по покупке ценных бумаг, Клиент несет ценовой риск как по ценным бумагам, приобретенным на основании такого поручения, так и по ценным бумагам, служащим обеспечением требований Брокера к Клиенту, при этом величина возможных убытков в данном случае ограничена размером маржинальной сделки;</w:t>
      </w:r>
    </w:p>
    <w:p w:rsidR="001D74ED" w:rsidRPr="00122E19" w:rsidRDefault="001D74ED" w:rsidP="004E6D2C">
      <w:pPr>
        <w:numPr>
          <w:ilvl w:val="0"/>
          <w:numId w:val="5"/>
        </w:numPr>
        <w:tabs>
          <w:tab w:val="clear" w:pos="1260"/>
          <w:tab w:val="num" w:pos="0"/>
        </w:tabs>
        <w:ind w:left="0" w:right="-186" w:firstLine="540"/>
        <w:jc w:val="both"/>
        <w:rPr>
          <w:sz w:val="20"/>
          <w:szCs w:val="20"/>
        </w:rPr>
      </w:pPr>
      <w:r w:rsidRPr="00122E19">
        <w:rPr>
          <w:sz w:val="20"/>
          <w:szCs w:val="20"/>
        </w:rPr>
        <w:t>по продаже ценных бумаг, Клиент несет ценовой риск как по ценным бумагам, приобретенным по сделке, так и по активам, составляющим обеспечение обязательств перед Брокером. Основное отличие в том, что величина убытков в данном случае ничем не ограничена, и Клиент обязан вернуть ценные бумаги независимо от изменения их стоимости. При этом текущая рыночная стоимость ценных бумаг может многократно превысить сумму маржинальной сделки.</w:t>
      </w:r>
    </w:p>
    <w:p w:rsidR="001D74ED" w:rsidRPr="00122E19" w:rsidRDefault="001D74ED" w:rsidP="004E6D2C">
      <w:pPr>
        <w:ind w:left="540" w:right="-186"/>
        <w:jc w:val="both"/>
        <w:rPr>
          <w:i/>
          <w:sz w:val="20"/>
          <w:szCs w:val="20"/>
        </w:rPr>
      </w:pPr>
      <w:r w:rsidRPr="00122E19">
        <w:rPr>
          <w:i/>
          <w:sz w:val="20"/>
          <w:szCs w:val="20"/>
        </w:rPr>
        <w:t>Денежные средства и ценные бумаги предоставляются Брокером под определенный процент, выплата которого уменьшает чистую прибыль Клиента (если таковая появится) или увеличивает его убытки.</w:t>
      </w:r>
    </w:p>
    <w:p w:rsidR="001D74ED" w:rsidRPr="00122E19" w:rsidRDefault="001D74ED" w:rsidP="004E6D2C">
      <w:pPr>
        <w:ind w:right="-186" w:firstLine="540"/>
        <w:jc w:val="both"/>
        <w:rPr>
          <w:sz w:val="20"/>
          <w:szCs w:val="20"/>
        </w:rPr>
      </w:pPr>
      <w:r w:rsidRPr="00122E19">
        <w:rPr>
          <w:sz w:val="20"/>
          <w:szCs w:val="20"/>
        </w:rPr>
        <w:t>Значимыми факторами, влияющими на увеличение степени риска, связанного с маржинальной торговлей, являются также:</w:t>
      </w:r>
    </w:p>
    <w:p w:rsidR="001D74ED" w:rsidRPr="00122E19" w:rsidRDefault="001D74ED" w:rsidP="004E6D2C">
      <w:pPr>
        <w:numPr>
          <w:ilvl w:val="0"/>
          <w:numId w:val="2"/>
        </w:numPr>
        <w:tabs>
          <w:tab w:val="clear" w:pos="1260"/>
          <w:tab w:val="num" w:pos="0"/>
        </w:tabs>
        <w:ind w:left="0" w:right="-186" w:firstLine="540"/>
        <w:jc w:val="both"/>
        <w:rPr>
          <w:sz w:val="20"/>
          <w:szCs w:val="20"/>
        </w:rPr>
      </w:pPr>
      <w:r w:rsidRPr="00122E19">
        <w:rPr>
          <w:sz w:val="20"/>
          <w:szCs w:val="20"/>
        </w:rPr>
        <w:t>снижение величины обеспечения, являющейся показателем текущей способности выполнить обязательства перед Брокером по совершенным маржинальным сделкам, что может потребовать от Клиента адекватных действий по приведению размера обеспечения к приемлемому уровню, что в свою очередь, может повлечь необходимость внесения дополнительных ценных бумаг или денежных средств;</w:t>
      </w:r>
    </w:p>
    <w:p w:rsidR="001D74ED" w:rsidRPr="00122E19" w:rsidRDefault="001D74ED" w:rsidP="004E6D2C">
      <w:pPr>
        <w:numPr>
          <w:ilvl w:val="0"/>
          <w:numId w:val="2"/>
        </w:numPr>
        <w:tabs>
          <w:tab w:val="clear" w:pos="1260"/>
          <w:tab w:val="num" w:pos="0"/>
        </w:tabs>
        <w:ind w:left="0" w:right="-186" w:firstLine="540"/>
        <w:jc w:val="both"/>
        <w:rPr>
          <w:sz w:val="20"/>
          <w:szCs w:val="20"/>
        </w:rPr>
      </w:pPr>
      <w:r w:rsidRPr="00122E19">
        <w:rPr>
          <w:sz w:val="20"/>
          <w:szCs w:val="20"/>
        </w:rPr>
        <w:t>снижение величины обеспечения, обусловленное изменением рыночной ситуацией и требованиями нормативных актов, внесение Брокером в одностороннем порядке изменений в список ценных бумаг, которые могут составлять обеспечение обязательств клиентов перед Брокером и необходимость погашения задолженности клиентов перед Брокером за счёт активов, составляющих обеспечение, исходя из существующих рыночных цен;</w:t>
      </w:r>
    </w:p>
    <w:p w:rsidR="001D74ED" w:rsidRPr="00122E19" w:rsidRDefault="001D74ED" w:rsidP="004E6D2C">
      <w:pPr>
        <w:numPr>
          <w:ilvl w:val="0"/>
          <w:numId w:val="2"/>
        </w:numPr>
        <w:tabs>
          <w:tab w:val="clear" w:pos="1260"/>
          <w:tab w:val="num" w:pos="0"/>
        </w:tabs>
        <w:ind w:left="0" w:right="-186" w:firstLine="540"/>
        <w:jc w:val="both"/>
        <w:rPr>
          <w:sz w:val="20"/>
          <w:szCs w:val="20"/>
        </w:rPr>
      </w:pPr>
      <w:r w:rsidRPr="00122E19">
        <w:rPr>
          <w:sz w:val="20"/>
          <w:szCs w:val="20"/>
        </w:rPr>
        <w:t>резкие колебания рыночных цен могут повлечь резкое снижение величины обеспечения ниже критического уровня и необходимость реализации части активов без предъявления со стороны Брокера маржинальных требований и погашения задолженности клиентов перед Брокером;</w:t>
      </w:r>
    </w:p>
    <w:p w:rsidR="001D74ED" w:rsidRPr="00122E19" w:rsidRDefault="001D74ED" w:rsidP="004E6D2C">
      <w:pPr>
        <w:numPr>
          <w:ilvl w:val="0"/>
          <w:numId w:val="2"/>
        </w:numPr>
        <w:tabs>
          <w:tab w:val="clear" w:pos="1260"/>
          <w:tab w:val="num" w:pos="0"/>
        </w:tabs>
        <w:ind w:left="0" w:right="-186" w:firstLine="540"/>
        <w:jc w:val="both"/>
        <w:rPr>
          <w:sz w:val="20"/>
          <w:szCs w:val="20"/>
        </w:rPr>
      </w:pPr>
      <w:r w:rsidRPr="00122E19">
        <w:rPr>
          <w:sz w:val="20"/>
          <w:szCs w:val="20"/>
        </w:rPr>
        <w:t>приостановление организаторами торговли торгов может создать препятствия для погашения задолженности клиентов перед Брокером по приемлемым ценам, и повлечь за собой убытки для Клиента;</w:t>
      </w:r>
    </w:p>
    <w:p w:rsidR="001D74ED" w:rsidRPr="00122E19" w:rsidRDefault="001D74ED" w:rsidP="004E6D2C">
      <w:pPr>
        <w:numPr>
          <w:ilvl w:val="0"/>
          <w:numId w:val="2"/>
        </w:numPr>
        <w:tabs>
          <w:tab w:val="clear" w:pos="1260"/>
          <w:tab w:val="num" w:pos="0"/>
        </w:tabs>
        <w:ind w:left="0" w:right="-186" w:firstLine="540"/>
        <w:jc w:val="both"/>
        <w:rPr>
          <w:sz w:val="20"/>
          <w:szCs w:val="20"/>
        </w:rPr>
      </w:pPr>
      <w:r w:rsidRPr="00122E19">
        <w:rPr>
          <w:sz w:val="20"/>
          <w:szCs w:val="20"/>
        </w:rPr>
        <w:t xml:space="preserve">невозможность в течение определенного времени выставления заявки на совершение сделки в торговой системе организатора торговли по причине технических сбоев может привести к невозможности своевременного проведения операций, направленных на погашение задолженности перед Брокером, возникшей вследствие совершения маржинальных сделок. </w:t>
      </w:r>
    </w:p>
    <w:p w:rsidR="001D74ED" w:rsidRPr="00122E19" w:rsidRDefault="001D74ED" w:rsidP="004E6D2C">
      <w:pPr>
        <w:numPr>
          <w:ilvl w:val="0"/>
          <w:numId w:val="4"/>
        </w:numPr>
        <w:tabs>
          <w:tab w:val="clear" w:pos="1260"/>
          <w:tab w:val="num" w:pos="0"/>
        </w:tabs>
        <w:ind w:left="0" w:right="-186" w:firstLine="540"/>
        <w:jc w:val="both"/>
        <w:rPr>
          <w:b/>
          <w:i/>
          <w:sz w:val="20"/>
          <w:szCs w:val="20"/>
        </w:rPr>
      </w:pPr>
      <w:r w:rsidRPr="00122E19">
        <w:rPr>
          <w:b/>
          <w:i/>
          <w:sz w:val="20"/>
          <w:szCs w:val="20"/>
        </w:rPr>
        <w:t>риски при совершении сделок, приводящих к возникновению непокрытых позиций:</w:t>
      </w:r>
    </w:p>
    <w:p w:rsidR="001D74ED" w:rsidRPr="00122E19" w:rsidRDefault="001D74ED" w:rsidP="004E6D2C">
      <w:pPr>
        <w:numPr>
          <w:ilvl w:val="0"/>
          <w:numId w:val="2"/>
        </w:numPr>
        <w:tabs>
          <w:tab w:val="clear" w:pos="1260"/>
          <w:tab w:val="num" w:pos="0"/>
        </w:tabs>
        <w:ind w:left="0" w:right="-186" w:firstLine="540"/>
        <w:jc w:val="both"/>
        <w:rPr>
          <w:sz w:val="20"/>
          <w:szCs w:val="20"/>
        </w:rPr>
      </w:pPr>
      <w:r w:rsidRPr="00122E19">
        <w:rPr>
          <w:sz w:val="20"/>
          <w:szCs w:val="20"/>
        </w:rPr>
        <w:t>совершая на рынке ценных бумаг сделки с неполным покрытием, Клиент несет ценовой риск как по активам, приобретенным на собственные средства, так и по активам, являющимся обеспечением обязательств Клиента перед Брокером/контрагентами по сделкам, заключенным в интересах Клиента. Совершая на рынке ценных бумаг сделки с неполным покрытием, Клиент несет дополнительные риски при изменении цен на ценные бумаги. Клиент обязуется погасить все обязательства, возникшие по сделкам с неполным покрытием, при этом рыночная стоимость ценных бумаг при совершении сделки с неполным покрытием в течение дня может существенно измениться. Совершая сделку с неполным покрытием, Клиент осознает все риски, связанные с изменением цены на ценные бумаги, и обязуется погасить возникшие обязательства вне зависимости от изменения рыночной конъюнктуры.</w:t>
      </w:r>
    </w:p>
    <w:p w:rsidR="001D74ED" w:rsidRPr="00122E19" w:rsidRDefault="001D74ED" w:rsidP="004E6D2C">
      <w:pPr>
        <w:numPr>
          <w:ilvl w:val="0"/>
          <w:numId w:val="2"/>
        </w:numPr>
        <w:tabs>
          <w:tab w:val="clear" w:pos="1260"/>
          <w:tab w:val="num" w:pos="0"/>
        </w:tabs>
        <w:ind w:left="0" w:right="-186" w:firstLine="540"/>
        <w:jc w:val="both"/>
        <w:rPr>
          <w:sz w:val="20"/>
          <w:szCs w:val="20"/>
        </w:rPr>
      </w:pPr>
      <w:r w:rsidRPr="00122E19">
        <w:rPr>
          <w:sz w:val="20"/>
          <w:szCs w:val="20"/>
        </w:rPr>
        <w:t>совершение сделок с неполным покрытием, сопровождается обязательством по поддержанию необходимого уровня обеспеченности открытых позиций Клиента. В том случае, если значение уровня обеспеченности позиций Клиента будет уменьшаться, Брокер потребует от Клиента совершения определенных действий в ограниченные сроки с целью доведения уровня обеспеченности до достаточной величины. В свою очередь, это может повлечь необходимость реализации части активов Клиента вне зависимости от состояния рыночных цен и последующих убытков от такой продажи. В случае снижения уровня обеспеченности до/ниже определенного уровня, открытые позиции Клиента могут быть принудительно закрыты Брокером по текущим рыночным ценам. Клиент самостоятельно несет весь риск убытков в результате осуществления Брокером принудительного закрытия его позиций.</w:t>
      </w:r>
    </w:p>
    <w:p w:rsidR="001D74ED" w:rsidRPr="00122E19" w:rsidRDefault="001D74ED" w:rsidP="004E6D2C">
      <w:pPr>
        <w:ind w:right="-186" w:firstLine="540"/>
        <w:jc w:val="both"/>
        <w:rPr>
          <w:sz w:val="20"/>
          <w:szCs w:val="20"/>
        </w:rPr>
      </w:pPr>
      <w:r w:rsidRPr="00122E19">
        <w:rPr>
          <w:sz w:val="20"/>
          <w:szCs w:val="20"/>
        </w:rPr>
        <w:t>В случае, если Клиент допущен к совершению маржинальных сделок, то каждое поручение на совершение сделки с неполным покрытием является маржинальным поручением, то есть поручением в случае недостаточности собственных активов Клиента на момент проведения расчетов по такой сделке, провести расчеты по сделке с использованием денежных средств и/или ценных бумаг Брокера, предоставленных Брокером в заем Клиенту.</w:t>
      </w:r>
    </w:p>
    <w:p w:rsidR="001D74ED" w:rsidRPr="00122E19" w:rsidRDefault="001D74ED" w:rsidP="004E6D2C">
      <w:pPr>
        <w:ind w:right="-186" w:firstLine="540"/>
        <w:jc w:val="both"/>
        <w:rPr>
          <w:sz w:val="20"/>
          <w:szCs w:val="20"/>
        </w:rPr>
      </w:pPr>
      <w:r w:rsidRPr="00122E19">
        <w:rPr>
          <w:sz w:val="20"/>
          <w:szCs w:val="20"/>
        </w:rPr>
        <w:t>Совершение сделок Клиентом, отнесенным к категории клиентов с особым уровнем риска, связано со значительным риском возникновения ситуации, при которой убытки Клиента, возникающие в результате неблагоприятного изменения цены ценной бумаги и/или контракта, могут превысить размер средств, внесенных им на счета, открытые у Компании.</w:t>
      </w:r>
    </w:p>
    <w:p w:rsidR="001D74ED" w:rsidRPr="00122E19" w:rsidRDefault="001D74ED" w:rsidP="004E6D2C">
      <w:pPr>
        <w:ind w:right="-186" w:firstLine="540"/>
        <w:jc w:val="both"/>
        <w:rPr>
          <w:sz w:val="20"/>
          <w:szCs w:val="20"/>
        </w:rPr>
      </w:pPr>
    </w:p>
    <w:p w:rsidR="001D74ED" w:rsidRPr="00122E19" w:rsidRDefault="001D74ED" w:rsidP="004E6D2C">
      <w:pPr>
        <w:jc w:val="center"/>
        <w:rPr>
          <w:b/>
          <w:i/>
          <w:sz w:val="20"/>
          <w:szCs w:val="20"/>
        </w:rPr>
        <w:sectPr w:rsidR="001D74ED" w:rsidRPr="00122E19" w:rsidSect="001F4746">
          <w:footerReference w:type="even" r:id="rId7"/>
          <w:footerReference w:type="default" r:id="rId8"/>
          <w:pgSz w:w="11906" w:h="16838"/>
          <w:pgMar w:top="1135" w:right="748" w:bottom="709" w:left="1134" w:header="346" w:footer="244" w:gutter="0"/>
          <w:cols w:space="708"/>
          <w:docGrid w:linePitch="360"/>
        </w:sectPr>
      </w:pPr>
      <w:r w:rsidRPr="00122E19">
        <w:rPr>
          <w:b/>
          <w:i/>
          <w:sz w:val="20"/>
          <w:szCs w:val="20"/>
        </w:rPr>
        <w:t>Данное Уведомление (Декларация) не имеет целью заставить Клиента отказаться от осуществления операций на фондовом рынке, а призвано помочь ему понять связанные с этим риски, определить их приемлемость, реально оценить свои финансовые цели и возможности и ответственно подойти к решению вопроса о выборе своей инвестиционной стратегии.</w:t>
      </w:r>
    </w:p>
    <w:p w:rsidR="001D74ED" w:rsidRPr="00122E19" w:rsidRDefault="001D74ED" w:rsidP="004E6D2C">
      <w:pPr>
        <w:ind w:firstLine="540"/>
        <w:jc w:val="center"/>
        <w:rPr>
          <w:b/>
          <w:sz w:val="20"/>
          <w:szCs w:val="20"/>
        </w:rPr>
      </w:pPr>
    </w:p>
    <w:p w:rsidR="001D74ED" w:rsidRPr="00122E19" w:rsidRDefault="001D74ED" w:rsidP="004E6D2C">
      <w:pPr>
        <w:ind w:firstLine="540"/>
        <w:jc w:val="center"/>
        <w:rPr>
          <w:b/>
          <w:sz w:val="20"/>
          <w:szCs w:val="20"/>
        </w:rPr>
      </w:pPr>
      <w:r w:rsidRPr="00122E19">
        <w:rPr>
          <w:b/>
          <w:sz w:val="20"/>
          <w:szCs w:val="20"/>
        </w:rPr>
        <w:t>УВЕДОМЛЕНИЕ (ДЕКЛАРАЦИЯ) О РИСКАХ, СВЯЗАННЫХ С ОСУЩЕСТВЛЕНИЕМ ОПЕРАЦИЙ НА РЫНКЕ ФЬЮЧЕРСНЫХ И ОПЦИОННЫХ КОНТРАКТОВ</w:t>
      </w:r>
    </w:p>
    <w:p w:rsidR="001D74ED" w:rsidRPr="00122E19" w:rsidRDefault="001D74ED" w:rsidP="004E6D2C">
      <w:pPr>
        <w:ind w:firstLine="540"/>
        <w:jc w:val="center"/>
        <w:rPr>
          <w:sz w:val="20"/>
          <w:szCs w:val="20"/>
        </w:rPr>
      </w:pPr>
    </w:p>
    <w:p w:rsidR="001D74ED" w:rsidRPr="00122E19" w:rsidRDefault="001D74ED" w:rsidP="004E6D2C">
      <w:pPr>
        <w:ind w:right="99" w:firstLine="540"/>
        <w:jc w:val="both"/>
        <w:rPr>
          <w:sz w:val="20"/>
          <w:szCs w:val="20"/>
        </w:rPr>
      </w:pPr>
      <w:r w:rsidRPr="00122E19">
        <w:rPr>
          <w:sz w:val="20"/>
          <w:szCs w:val="20"/>
        </w:rPr>
        <w:t>Проведение операций на Срочном рынке (организатором торгов на котором является ОАО «ММВБ-РТС») сопряжено со специфическими рисками инвестирования на рынке фьючерсных и опционных контрактов.</w:t>
      </w:r>
    </w:p>
    <w:p w:rsidR="001D74ED" w:rsidRPr="00122E19" w:rsidRDefault="001D74ED" w:rsidP="004E6D2C">
      <w:pPr>
        <w:ind w:right="99" w:firstLine="540"/>
        <w:jc w:val="both"/>
        <w:rPr>
          <w:sz w:val="20"/>
          <w:szCs w:val="20"/>
        </w:rPr>
      </w:pPr>
      <w:r w:rsidRPr="00122E19">
        <w:rPr>
          <w:sz w:val="20"/>
          <w:szCs w:val="20"/>
        </w:rPr>
        <w:t xml:space="preserve"> Настоящее Уведомление (Декларация) призвано ознакомить потенциального инвестора с наиболее существенными моментами, сопровождающими совершение сделок со Срочными контрактами, которые могут повлечь возникновение убытков.</w:t>
      </w:r>
    </w:p>
    <w:p w:rsidR="001D74ED" w:rsidRPr="00122E19" w:rsidRDefault="001D74ED" w:rsidP="004E6D2C">
      <w:pPr>
        <w:ind w:right="99" w:firstLine="540"/>
        <w:jc w:val="both"/>
        <w:rPr>
          <w:sz w:val="20"/>
          <w:szCs w:val="20"/>
        </w:rPr>
      </w:pPr>
      <w:r w:rsidRPr="00122E19">
        <w:rPr>
          <w:sz w:val="20"/>
          <w:szCs w:val="20"/>
        </w:rPr>
        <w:t>Проявляя интерес к проведению операций на Срочном рынке и имея намерение воспользоваться в этих целях услугами Брокера (далее по тексту – «Биржевой посредник»), Клиент должен быть осведомлен о следующих обстоятельствах:</w:t>
      </w:r>
    </w:p>
    <w:p w:rsidR="001D74ED" w:rsidRPr="00122E19" w:rsidRDefault="001D74ED" w:rsidP="004E6D2C">
      <w:pPr>
        <w:numPr>
          <w:ilvl w:val="0"/>
          <w:numId w:val="6"/>
        </w:numPr>
        <w:tabs>
          <w:tab w:val="clear" w:pos="1260"/>
          <w:tab w:val="num" w:pos="0"/>
        </w:tabs>
        <w:ind w:left="0" w:right="99" w:firstLine="540"/>
        <w:jc w:val="both"/>
        <w:rPr>
          <w:sz w:val="20"/>
          <w:szCs w:val="20"/>
        </w:rPr>
      </w:pPr>
      <w:r w:rsidRPr="00122E19">
        <w:rPr>
          <w:sz w:val="20"/>
          <w:szCs w:val="20"/>
        </w:rPr>
        <w:t xml:space="preserve">в случае, если на рынке фьючерсных и опционных контрактов складывается ситуация, неблагоприятная для занятой Клиентом позиции, есть вероятность в сравнительно короткий срок потерять все средства инвестирования, переданные Биржевому посреднику и предназначенные для внесения в качестве Гарантийного обеспечения по позициям, открываемым по Вашим поручениям на Срочном рынке, </w:t>
      </w:r>
      <w:r w:rsidRPr="00122E19">
        <w:rPr>
          <w:sz w:val="20"/>
          <w:szCs w:val="18"/>
        </w:rPr>
        <w:t>или даже суммы, превосходящей первоначальные инвестиции</w:t>
      </w:r>
      <w:r w:rsidRPr="00122E19">
        <w:rPr>
          <w:sz w:val="20"/>
          <w:szCs w:val="20"/>
        </w:rPr>
        <w:t>;</w:t>
      </w:r>
    </w:p>
    <w:p w:rsidR="001D74ED" w:rsidRPr="00122E19" w:rsidRDefault="001D74ED" w:rsidP="004E6D2C">
      <w:pPr>
        <w:numPr>
          <w:ilvl w:val="0"/>
          <w:numId w:val="6"/>
        </w:numPr>
        <w:tabs>
          <w:tab w:val="clear" w:pos="1260"/>
          <w:tab w:val="num" w:pos="0"/>
        </w:tabs>
        <w:ind w:left="0" w:right="99" w:firstLine="540"/>
        <w:jc w:val="both"/>
        <w:rPr>
          <w:sz w:val="20"/>
          <w:szCs w:val="20"/>
        </w:rPr>
      </w:pPr>
      <w:r w:rsidRPr="00122E19">
        <w:rPr>
          <w:sz w:val="20"/>
          <w:szCs w:val="20"/>
        </w:rPr>
        <w:t xml:space="preserve"> при неблагоприятном для Клиента движении цен для поддержания занятой на рынке позиции он может быть поставлен перед необходимостью в короткие сроки внести дополнительные средства значительного размера, и если не выполнит требований в установленные сроки, то позиция Клиента может быть подвергнута принудительному закрытию, сопровождающемуся убытками для него;</w:t>
      </w:r>
    </w:p>
    <w:p w:rsidR="001D74ED" w:rsidRPr="00122E19" w:rsidRDefault="001D74ED" w:rsidP="004E6D2C">
      <w:pPr>
        <w:numPr>
          <w:ilvl w:val="0"/>
          <w:numId w:val="6"/>
        </w:numPr>
        <w:tabs>
          <w:tab w:val="clear" w:pos="1260"/>
          <w:tab w:val="num" w:pos="0"/>
        </w:tabs>
        <w:ind w:left="0" w:right="99" w:firstLine="540"/>
        <w:jc w:val="both"/>
        <w:rPr>
          <w:sz w:val="20"/>
          <w:szCs w:val="20"/>
        </w:rPr>
      </w:pPr>
      <w:r w:rsidRPr="00122E19">
        <w:rPr>
          <w:sz w:val="20"/>
          <w:szCs w:val="20"/>
        </w:rPr>
        <w:t>если в целях обеспечения исполнения требований к размеру Гарантийного обеспечения Клиентом в соответствии с Договором о брокерском обслуживании на рынке ценных бумаг внесено имущество в качестве залога, то после совершения по поручению Клиента сделки, повлекшей открытие позиции, Клиент теряет право распоряжения заложенным имуществом до закрытия позиций, а в случаях, предусмотренных Правилами торговли и договором залога, на имущество, обременённое залогом, может быть обращено взыскание, и оно может быть реализовано;</w:t>
      </w:r>
    </w:p>
    <w:p w:rsidR="001D74ED" w:rsidRPr="00122E19" w:rsidRDefault="001D74ED" w:rsidP="004E6D2C">
      <w:pPr>
        <w:numPr>
          <w:ilvl w:val="0"/>
          <w:numId w:val="6"/>
        </w:numPr>
        <w:tabs>
          <w:tab w:val="clear" w:pos="1260"/>
          <w:tab w:val="num" w:pos="0"/>
        </w:tabs>
        <w:ind w:left="0" w:right="99" w:firstLine="540"/>
        <w:jc w:val="both"/>
        <w:rPr>
          <w:sz w:val="20"/>
          <w:szCs w:val="20"/>
        </w:rPr>
      </w:pPr>
      <w:r w:rsidRPr="00122E19">
        <w:rPr>
          <w:sz w:val="20"/>
          <w:szCs w:val="20"/>
        </w:rPr>
        <w:t>некоторые ситуации, складывающиеся на рынке фьючерсных и опционных контрактов, например, когда при быстром изменении цен торги на Срочном рынке приостановлены или ограничены, могут обусловить затруднительность или невозможность закрытия позиций Клиента;</w:t>
      </w:r>
    </w:p>
    <w:p w:rsidR="001D74ED" w:rsidRPr="00122E19" w:rsidRDefault="001D74ED" w:rsidP="004E6D2C">
      <w:pPr>
        <w:numPr>
          <w:ilvl w:val="0"/>
          <w:numId w:val="6"/>
        </w:numPr>
        <w:tabs>
          <w:tab w:val="clear" w:pos="1260"/>
          <w:tab w:val="num" w:pos="0"/>
        </w:tabs>
        <w:ind w:left="0" w:right="99" w:firstLine="540"/>
        <w:jc w:val="both"/>
        <w:rPr>
          <w:sz w:val="20"/>
          <w:szCs w:val="20"/>
        </w:rPr>
      </w:pPr>
      <w:r w:rsidRPr="00122E19">
        <w:rPr>
          <w:sz w:val="20"/>
          <w:szCs w:val="20"/>
        </w:rPr>
        <w:t xml:space="preserve"> поручения, направленные на ограничение убытков, не всегда могут ограничить потери Клиента до предполагаемого уровня, так как в рамках складывающейся на рынке ситуации исполнение такого поручения по указанной Клиентом цене может оказаться невозможным;</w:t>
      </w:r>
    </w:p>
    <w:p w:rsidR="001D74ED" w:rsidRPr="00122E19" w:rsidRDefault="001D74ED" w:rsidP="004E6D2C">
      <w:pPr>
        <w:numPr>
          <w:ilvl w:val="0"/>
          <w:numId w:val="6"/>
        </w:numPr>
        <w:tabs>
          <w:tab w:val="clear" w:pos="1260"/>
          <w:tab w:val="num" w:pos="0"/>
        </w:tabs>
        <w:ind w:left="0" w:right="99" w:firstLine="540"/>
        <w:jc w:val="both"/>
        <w:rPr>
          <w:sz w:val="20"/>
          <w:szCs w:val="20"/>
        </w:rPr>
      </w:pPr>
      <w:r w:rsidRPr="00122E19">
        <w:rPr>
          <w:sz w:val="20"/>
          <w:szCs w:val="20"/>
        </w:rPr>
        <w:t>покупка опциона сопряжена со значительно меньшим риском, чем при торговле фьючерсными контрактами, так как потери Клиента не превысят величину уплаченной им премии плюс комиссионное вознаграждение Биржевому посреднику и прочие сборы. При продаже опциона риск Клиента сопоставим с риском при сделках с фьючерсными контрактами – в случае относительно небольших, неблагоприятных для Клиента движений цен на рынке он подвергается риску потенциально неограниченных убытков, превышающих полученную при продаже опциона премию. Совершение сделок по продаже опционов может быть рекомендовано только опытным инвесторам, обладающим значительными финансовыми возможностями и опытом применения стратегий.</w:t>
      </w:r>
    </w:p>
    <w:p w:rsidR="001D74ED" w:rsidRPr="00122E19" w:rsidRDefault="001D74ED" w:rsidP="004E6D2C">
      <w:pPr>
        <w:numPr>
          <w:ilvl w:val="0"/>
          <w:numId w:val="7"/>
        </w:numPr>
        <w:tabs>
          <w:tab w:val="clear" w:pos="1260"/>
          <w:tab w:val="num" w:pos="0"/>
        </w:tabs>
        <w:ind w:left="0" w:right="99" w:firstLine="540"/>
        <w:jc w:val="both"/>
        <w:rPr>
          <w:sz w:val="20"/>
          <w:szCs w:val="20"/>
        </w:rPr>
      </w:pPr>
      <w:r w:rsidRPr="00122E19">
        <w:rPr>
          <w:sz w:val="20"/>
          <w:szCs w:val="20"/>
        </w:rPr>
        <w:t>до совершения сделки Клиенту следует узнать у своего Биржевого посредника размер комиссионного вознаграждения, а также информацию о размерах иных сборов;</w:t>
      </w:r>
    </w:p>
    <w:p w:rsidR="001D74ED" w:rsidRPr="00122E19" w:rsidRDefault="001D74ED" w:rsidP="004E6D2C">
      <w:pPr>
        <w:numPr>
          <w:ilvl w:val="0"/>
          <w:numId w:val="7"/>
        </w:numPr>
        <w:tabs>
          <w:tab w:val="clear" w:pos="1260"/>
          <w:tab w:val="num" w:pos="0"/>
        </w:tabs>
        <w:ind w:left="0" w:right="99" w:firstLine="540"/>
        <w:jc w:val="both"/>
        <w:rPr>
          <w:sz w:val="20"/>
          <w:szCs w:val="20"/>
        </w:rPr>
      </w:pPr>
      <w:r w:rsidRPr="00122E19">
        <w:rPr>
          <w:sz w:val="20"/>
          <w:szCs w:val="20"/>
        </w:rPr>
        <w:t>Биржевые посредники могут проводить операции от своего имени и за свой счет с теми же фьючерсными контрактами и опционами, что и Клиент, а это может привести к возникновению конфликта интересов. Биржевой посредник должен заранее информировать Клиента о том, что он торгует за свой счет на рынках соответствующих фьючерсных контрактов и опционов.</w:t>
      </w:r>
    </w:p>
    <w:p w:rsidR="001D74ED" w:rsidRPr="00122E19" w:rsidRDefault="001D74ED" w:rsidP="004E6D2C">
      <w:pPr>
        <w:numPr>
          <w:ilvl w:val="0"/>
          <w:numId w:val="7"/>
        </w:numPr>
        <w:tabs>
          <w:tab w:val="clear" w:pos="1260"/>
          <w:tab w:val="num" w:pos="0"/>
        </w:tabs>
        <w:ind w:left="0" w:right="99" w:firstLine="540"/>
        <w:jc w:val="both"/>
        <w:rPr>
          <w:sz w:val="20"/>
          <w:szCs w:val="20"/>
        </w:rPr>
      </w:pPr>
      <w:r w:rsidRPr="00122E19">
        <w:rPr>
          <w:sz w:val="20"/>
          <w:szCs w:val="20"/>
        </w:rPr>
        <w:t>неплатежеспособность Биржевого посредника или иных привлеченных к контракту посредников может повлечь за собой закрытие позиции Клиента без его на то согласия. Гарантии исполнения контрактов со стороны Биржи применимы только к взаимным обязательствам между Биржей и Биржевыми посредниками.</w:t>
      </w:r>
    </w:p>
    <w:p w:rsidR="001D74ED" w:rsidRPr="00122E19" w:rsidRDefault="001D74ED" w:rsidP="004E6D2C">
      <w:pPr>
        <w:pStyle w:val="BodyText3"/>
        <w:ind w:right="99" w:firstLine="540"/>
      </w:pPr>
      <w:r w:rsidRPr="00122E19">
        <w:t>Настоящее Уведомление не раскрывает всех рисков, связанных с проведением операций на рынке фьючерсных контрактов и опционов.</w:t>
      </w:r>
    </w:p>
    <w:p w:rsidR="001D74ED" w:rsidRPr="00122E19" w:rsidRDefault="001D74ED" w:rsidP="004E6D2C">
      <w:pPr>
        <w:jc w:val="center"/>
        <w:rPr>
          <w:b/>
          <w:sz w:val="20"/>
          <w:szCs w:val="20"/>
        </w:rPr>
      </w:pPr>
    </w:p>
    <w:p w:rsidR="001D74ED" w:rsidRPr="00122E19" w:rsidRDefault="001D74ED" w:rsidP="004E6D2C">
      <w:pPr>
        <w:jc w:val="center"/>
        <w:rPr>
          <w:b/>
          <w:sz w:val="20"/>
          <w:szCs w:val="20"/>
        </w:rPr>
        <w:sectPr w:rsidR="001D74ED" w:rsidRPr="00122E19" w:rsidSect="001F4746">
          <w:headerReference w:type="default" r:id="rId9"/>
          <w:pgSz w:w="11906" w:h="16838"/>
          <w:pgMar w:top="993" w:right="748" w:bottom="357" w:left="1134" w:header="346" w:footer="244" w:gutter="0"/>
          <w:cols w:space="708"/>
          <w:docGrid w:linePitch="360"/>
        </w:sectPr>
      </w:pPr>
    </w:p>
    <w:p w:rsidR="001D74ED" w:rsidRPr="00122E19" w:rsidRDefault="001D74ED" w:rsidP="004E6D2C">
      <w:pPr>
        <w:jc w:val="center"/>
        <w:rPr>
          <w:b/>
          <w:sz w:val="20"/>
          <w:szCs w:val="20"/>
        </w:rPr>
      </w:pPr>
    </w:p>
    <w:p w:rsidR="001D74ED" w:rsidRPr="00122E19" w:rsidRDefault="001D74ED" w:rsidP="004E6D2C">
      <w:pPr>
        <w:autoSpaceDE w:val="0"/>
        <w:autoSpaceDN w:val="0"/>
        <w:adjustRightInd w:val="0"/>
        <w:ind w:firstLine="360"/>
        <w:jc w:val="center"/>
        <w:rPr>
          <w:b/>
          <w:sz w:val="20"/>
          <w:szCs w:val="20"/>
        </w:rPr>
      </w:pPr>
      <w:r w:rsidRPr="00122E19">
        <w:rPr>
          <w:b/>
          <w:sz w:val="20"/>
          <w:szCs w:val="20"/>
        </w:rPr>
        <w:t>УВЕДОМЛЕНИЕ О ПОРЯДКЕ ХРАНЕНИЯ И УЧЕТА ДЕНЕЖНЫХ СРЕДСТВ КЛИЕНТОВ</w:t>
      </w:r>
    </w:p>
    <w:p w:rsidR="001D74ED" w:rsidRPr="00122E19" w:rsidRDefault="001D74ED" w:rsidP="004E6D2C">
      <w:pPr>
        <w:autoSpaceDE w:val="0"/>
        <w:autoSpaceDN w:val="0"/>
        <w:adjustRightInd w:val="0"/>
        <w:ind w:firstLine="360"/>
        <w:jc w:val="center"/>
        <w:rPr>
          <w:b/>
          <w:sz w:val="20"/>
          <w:szCs w:val="20"/>
        </w:rPr>
      </w:pPr>
    </w:p>
    <w:p w:rsidR="001D74ED" w:rsidRPr="00122E19" w:rsidRDefault="001D74ED" w:rsidP="004E6D2C">
      <w:pPr>
        <w:autoSpaceDE w:val="0"/>
        <w:autoSpaceDN w:val="0"/>
        <w:adjustRightInd w:val="0"/>
        <w:ind w:right="125" w:firstLine="540"/>
        <w:jc w:val="both"/>
        <w:rPr>
          <w:sz w:val="20"/>
          <w:szCs w:val="20"/>
        </w:rPr>
      </w:pPr>
      <w:r w:rsidRPr="00122E19">
        <w:rPr>
          <w:sz w:val="20"/>
          <w:szCs w:val="20"/>
        </w:rPr>
        <w:t>Денежные средства, передаваемые Клиентом Брокеру, предназначенные для (или полученные от) операций с ценными бумагами учитываются на Специальных счетах Брокера, открытых Брокеру в кредитных организациях для учёта на них денежных средств, принадлежащих Клиенту, вместе с денежными средствами других Клиентов Брокера. Реквизиты специальных счетов Брокера:</w:t>
      </w:r>
    </w:p>
    <w:p w:rsidR="001D74ED" w:rsidRPr="00122E19" w:rsidRDefault="001D74ED" w:rsidP="004E6D2C">
      <w:pPr>
        <w:autoSpaceDE w:val="0"/>
        <w:autoSpaceDN w:val="0"/>
        <w:adjustRightInd w:val="0"/>
        <w:ind w:right="125" w:firstLine="540"/>
        <w:jc w:val="both"/>
        <w:rPr>
          <w:sz w:val="20"/>
          <w:szCs w:val="20"/>
        </w:rPr>
      </w:pPr>
      <w:r w:rsidRPr="00122E19">
        <w:rPr>
          <w:sz w:val="20"/>
          <w:szCs w:val="20"/>
        </w:rPr>
        <w:t>Для учёта денежных средств Клиента отдельно от денежных средств других клиентов Брокер может открыть Клиенту отдельный счёт в кредитной организации (при условии предоставления данной услуги кредитной организацией). Условия и порядок предоставления данной услуги могут быть оговорены в отдельном соглашении между Брокером и Клиентом, при этом Клиент должен возмещать Брокеру расходы по открытию и обслуживанию такого счёта.</w:t>
      </w:r>
    </w:p>
    <w:p w:rsidR="001D74ED" w:rsidRPr="00122E19" w:rsidRDefault="001D74ED" w:rsidP="004E6D2C">
      <w:pPr>
        <w:autoSpaceDE w:val="0"/>
        <w:autoSpaceDN w:val="0"/>
        <w:adjustRightInd w:val="0"/>
        <w:ind w:right="125" w:firstLine="540"/>
        <w:jc w:val="both"/>
        <w:rPr>
          <w:sz w:val="20"/>
          <w:szCs w:val="20"/>
        </w:rPr>
      </w:pPr>
      <w:r w:rsidRPr="00122E19">
        <w:rPr>
          <w:sz w:val="20"/>
          <w:szCs w:val="20"/>
        </w:rPr>
        <w:t xml:space="preserve">Если иное письменно не согласовано между Клиентом и Брокером, возможность открытия отдельного Специального счёта Брокера в целях учета денежных средств Клиента не предусмотрена. </w:t>
      </w:r>
    </w:p>
    <w:p w:rsidR="001D74ED" w:rsidRPr="00122E19" w:rsidRDefault="001D74ED" w:rsidP="004E6D2C">
      <w:pPr>
        <w:autoSpaceDE w:val="0"/>
        <w:autoSpaceDN w:val="0"/>
        <w:adjustRightInd w:val="0"/>
        <w:ind w:right="125" w:firstLine="540"/>
        <w:jc w:val="both"/>
        <w:rPr>
          <w:sz w:val="20"/>
          <w:szCs w:val="20"/>
        </w:rPr>
      </w:pPr>
      <w:r w:rsidRPr="00122E19">
        <w:rPr>
          <w:sz w:val="20"/>
          <w:szCs w:val="20"/>
        </w:rPr>
        <w:t>Учёт денежных средств Клиента на Специальных счетах Брокера вместе с денежными средствами других клиентов Брокера может нести в себе риск задержки возврата Клиенту денежных средств или несвоевременного исполнения поручения Клиента на покупку ценных бумаг, вызванный ошибочным списанием денежных средств Клиента по поручению другого клиента Брокера, вследствие операционной ошибки сотрудников Брокера или сбоя в работе соответствующего программного обеспечения.</w:t>
      </w:r>
    </w:p>
    <w:p w:rsidR="001D74ED" w:rsidRPr="00122E19" w:rsidRDefault="001D74ED" w:rsidP="004E6D2C">
      <w:pPr>
        <w:autoSpaceDE w:val="0"/>
        <w:autoSpaceDN w:val="0"/>
        <w:adjustRightInd w:val="0"/>
        <w:ind w:right="125" w:firstLine="540"/>
        <w:jc w:val="both"/>
        <w:rPr>
          <w:sz w:val="20"/>
          <w:szCs w:val="20"/>
        </w:rPr>
      </w:pPr>
      <w:r w:rsidRPr="00122E19">
        <w:rPr>
          <w:sz w:val="20"/>
          <w:szCs w:val="20"/>
        </w:rPr>
        <w:t xml:space="preserve">Брокер, в том числе с целью снижения рисков, ведет внутренний учёт денежных средств и операций с денежными средствами Клиентов раздельно друг от друга и от денежных средств Брокера. Информация об остатках и движении принадлежащих Клиенту денежных средств содержится в отчётах, формируемых Брокером в соответствии с Разделом 6 Регламента оказания брокерских услуг на рынке ценных бумаг ООО «ДОХОДНЫЙ ДОМ ИНВЕСТОРА» (далее по тексту – «Регламент»). </w:t>
      </w:r>
    </w:p>
    <w:p w:rsidR="001D74ED" w:rsidRPr="00122E19" w:rsidRDefault="001D74ED" w:rsidP="004E6D2C">
      <w:pPr>
        <w:autoSpaceDE w:val="0"/>
        <w:autoSpaceDN w:val="0"/>
        <w:adjustRightInd w:val="0"/>
        <w:ind w:right="125" w:firstLine="540"/>
        <w:jc w:val="both"/>
        <w:rPr>
          <w:sz w:val="20"/>
          <w:szCs w:val="20"/>
        </w:rPr>
      </w:pPr>
      <w:r w:rsidRPr="00122E19">
        <w:rPr>
          <w:sz w:val="20"/>
          <w:szCs w:val="20"/>
        </w:rPr>
        <w:t xml:space="preserve">В соответствии с Регламентом, Брокер вправе использовать денежные средства Клиента на условии их возврата по требованию Клиента в соответствии </w:t>
      </w:r>
      <w:r w:rsidRPr="00122E19">
        <w:rPr>
          <w:sz w:val="20"/>
          <w:szCs w:val="20"/>
          <w:lang w:val="en-US"/>
        </w:rPr>
        <w:t>c</w:t>
      </w:r>
      <w:r w:rsidRPr="00122E19">
        <w:rPr>
          <w:sz w:val="20"/>
          <w:szCs w:val="20"/>
        </w:rPr>
        <w:t xml:space="preserve"> нормативными правовыми актами Российской Федерации, при условии обеспечения возможности надлежащего исполнения поручений Клиента. На этом основании Брокер вправе зачислять денежные средства Клиента на собственный счёт, и в этом случае исполнение Поручений Клиента может осуществляться с собственного счёта Брокера. Прибыль, полученная Брокером в результате использования денежных средств Клиента, остается у Брокера в полном объеме, если иное не определено Регламентом или дополнительными соглашениями Клиента с Брокером. </w:t>
      </w:r>
    </w:p>
    <w:p w:rsidR="001D74ED" w:rsidRPr="00122E19" w:rsidRDefault="001D74ED" w:rsidP="004E6D2C">
      <w:pPr>
        <w:autoSpaceDE w:val="0"/>
        <w:autoSpaceDN w:val="0"/>
        <w:adjustRightInd w:val="0"/>
        <w:ind w:right="125" w:firstLine="540"/>
        <w:jc w:val="both"/>
        <w:rPr>
          <w:sz w:val="20"/>
          <w:szCs w:val="20"/>
        </w:rPr>
      </w:pPr>
      <w:r w:rsidRPr="00122E19">
        <w:rPr>
          <w:sz w:val="20"/>
          <w:szCs w:val="20"/>
        </w:rPr>
        <w:t>При использовании Брокером денежных средств Клиента имеют место специфические риски, связанные с зачислением денежных средств на собственный счёт Брокера. К таким специфическим рискам относятся риск несвоевременного возврата Клиенту денежных средств и риск неисполнения (несвоевременного исполнения) Поручения Клиента на покупку ценных бумаг, которые могут быть вызваны, в частности, отсутствием на собственном счёте Брокера достаточной для исполнения соответствующего поручения Клиента суммы денежных средств.</w:t>
      </w:r>
    </w:p>
    <w:p w:rsidR="001D74ED" w:rsidRPr="00122E19" w:rsidRDefault="001D74ED" w:rsidP="004E6D2C">
      <w:pPr>
        <w:autoSpaceDE w:val="0"/>
        <w:autoSpaceDN w:val="0"/>
        <w:adjustRightInd w:val="0"/>
        <w:ind w:right="125" w:firstLine="540"/>
        <w:jc w:val="both"/>
        <w:rPr>
          <w:sz w:val="20"/>
          <w:szCs w:val="20"/>
        </w:rPr>
      </w:pPr>
      <w:r w:rsidRPr="00122E19">
        <w:rPr>
          <w:sz w:val="20"/>
          <w:szCs w:val="20"/>
        </w:rPr>
        <w:t xml:space="preserve">Указание на данные риски приводится здесь исключительно с целью информирования Клиента о потенциальной возможности наступления описанных событий, однако не означает согласие Клиента на совершение Брокером описанных в отношении данного риска действий и не освобождает Брокера от обязанности возмещать причиненный Клиенту такими действиями ущерб в соответствии с законодательством Российской Федерации. Более того, Брокер надлежащим образом исполняет все свои обязательства и предпринимает все возможное для того, чтобы свести данные риски к минимуму.  </w:t>
      </w:r>
    </w:p>
    <w:p w:rsidR="001D74ED" w:rsidRPr="00122E19" w:rsidRDefault="001D74ED" w:rsidP="004E6D2C">
      <w:pPr>
        <w:autoSpaceDE w:val="0"/>
        <w:autoSpaceDN w:val="0"/>
        <w:adjustRightInd w:val="0"/>
        <w:ind w:right="125" w:firstLine="540"/>
        <w:jc w:val="both"/>
        <w:rPr>
          <w:sz w:val="20"/>
          <w:szCs w:val="20"/>
        </w:rPr>
      </w:pPr>
      <w:bookmarkStart w:id="1" w:name="OLE_LINK3"/>
      <w:r w:rsidRPr="00122E19">
        <w:rPr>
          <w:sz w:val="20"/>
          <w:szCs w:val="20"/>
        </w:rPr>
        <w:t xml:space="preserve">Денежные средства Клиентов учитываются в кредитных организациях, в которых у Брокера открыты Специальные брокерские счета в соответствии с требованиями Федерального закона от 22.04.1996 № 39-ФЗ «О рынке ценных бумаг» и Требованиями к правилам осуществления брокерской деятельности при совершении операций с денежными средствами клиентов брокера, утвержденными Приказом ФСФР России от 05.04.2011 № 11-7/пз-н. </w:t>
      </w:r>
    </w:p>
    <w:p w:rsidR="001D74ED" w:rsidRPr="00122E19" w:rsidRDefault="001D74ED" w:rsidP="004E6D2C">
      <w:pPr>
        <w:autoSpaceDE w:val="0"/>
        <w:autoSpaceDN w:val="0"/>
        <w:adjustRightInd w:val="0"/>
        <w:ind w:right="125" w:firstLine="540"/>
        <w:jc w:val="both"/>
        <w:rPr>
          <w:sz w:val="20"/>
          <w:szCs w:val="20"/>
        </w:rPr>
      </w:pPr>
      <w:r w:rsidRPr="00122E19">
        <w:rPr>
          <w:sz w:val="20"/>
          <w:szCs w:val="20"/>
        </w:rPr>
        <w:t>Перечень открытых Брокером специальных брокерских счетов приведен в параграфе 2 Регламента. Клиент вправе в соответствии с федеральными законами потребовать у Компании дополнительную информацию о кредитных организациях, указанных в приведенном перечне.</w:t>
      </w:r>
      <w:bookmarkEnd w:id="1"/>
    </w:p>
    <w:p w:rsidR="001D74ED" w:rsidRDefault="001D74ED" w:rsidP="004E6D2C">
      <w:pPr>
        <w:jc w:val="center"/>
        <w:rPr>
          <w:b/>
          <w:sz w:val="20"/>
          <w:szCs w:val="20"/>
        </w:rPr>
      </w:pPr>
    </w:p>
    <w:p w:rsidR="001D74ED" w:rsidRDefault="001D74ED" w:rsidP="004E6D2C">
      <w:pPr>
        <w:jc w:val="center"/>
        <w:rPr>
          <w:b/>
          <w:sz w:val="20"/>
          <w:szCs w:val="20"/>
        </w:rPr>
      </w:pPr>
    </w:p>
    <w:p w:rsidR="001D74ED" w:rsidRDefault="001D74ED" w:rsidP="004E6D2C">
      <w:pPr>
        <w:jc w:val="center"/>
        <w:rPr>
          <w:b/>
          <w:sz w:val="20"/>
          <w:szCs w:val="20"/>
        </w:rPr>
      </w:pPr>
    </w:p>
    <w:p w:rsidR="001D74ED" w:rsidRPr="00122E19" w:rsidRDefault="001D74ED" w:rsidP="004E6D2C">
      <w:pPr>
        <w:jc w:val="center"/>
        <w:rPr>
          <w:b/>
          <w:sz w:val="20"/>
          <w:szCs w:val="20"/>
        </w:rPr>
      </w:pPr>
      <w:r w:rsidRPr="00122E19">
        <w:rPr>
          <w:b/>
          <w:sz w:val="20"/>
          <w:szCs w:val="20"/>
        </w:rPr>
        <w:t xml:space="preserve">УВЕДОМЛЕНИЕ (ДЕКЛАРАЦИЯ) О РИСКАХ, </w:t>
      </w:r>
    </w:p>
    <w:p w:rsidR="001D74ED" w:rsidRPr="00122E19" w:rsidRDefault="001D74ED" w:rsidP="004E6D2C">
      <w:pPr>
        <w:jc w:val="center"/>
        <w:rPr>
          <w:b/>
          <w:sz w:val="20"/>
          <w:szCs w:val="20"/>
        </w:rPr>
      </w:pPr>
      <w:r w:rsidRPr="00122E19">
        <w:rPr>
          <w:b/>
          <w:sz w:val="20"/>
          <w:szCs w:val="20"/>
        </w:rPr>
        <w:t xml:space="preserve">связанных с приобретением иностранных ценных бумаг и (или) заключением </w:t>
      </w:r>
    </w:p>
    <w:p w:rsidR="001D74ED" w:rsidRPr="00122E19" w:rsidRDefault="001D74ED" w:rsidP="004E6D2C">
      <w:pPr>
        <w:jc w:val="center"/>
        <w:rPr>
          <w:b/>
          <w:sz w:val="20"/>
          <w:szCs w:val="20"/>
        </w:rPr>
      </w:pPr>
      <w:r w:rsidRPr="00122E19">
        <w:rPr>
          <w:b/>
          <w:sz w:val="20"/>
          <w:szCs w:val="20"/>
        </w:rPr>
        <w:t xml:space="preserve">договоров, являющихся производными финансовыми инструментами, базисным активом которых </w:t>
      </w:r>
    </w:p>
    <w:p w:rsidR="001D74ED" w:rsidRPr="00122E19" w:rsidRDefault="001D74ED" w:rsidP="004E6D2C">
      <w:pPr>
        <w:jc w:val="center"/>
        <w:rPr>
          <w:b/>
          <w:sz w:val="20"/>
          <w:szCs w:val="20"/>
        </w:rPr>
      </w:pPr>
      <w:r w:rsidRPr="00122E19">
        <w:rPr>
          <w:b/>
          <w:sz w:val="20"/>
          <w:szCs w:val="20"/>
        </w:rPr>
        <w:t>являются ценные бумаги иностранных эмитентов или индексы, рассчитанные по таким ценным бумагам</w:t>
      </w:r>
    </w:p>
    <w:p w:rsidR="001D74ED" w:rsidRPr="00122E19" w:rsidRDefault="001D74ED" w:rsidP="004E6D2C">
      <w:pPr>
        <w:jc w:val="center"/>
        <w:rPr>
          <w:b/>
          <w:sz w:val="20"/>
          <w:szCs w:val="20"/>
        </w:rPr>
      </w:pPr>
    </w:p>
    <w:p w:rsidR="001D74ED" w:rsidRPr="00122E19" w:rsidRDefault="001D74ED" w:rsidP="004E6D2C">
      <w:pPr>
        <w:rPr>
          <w:rFonts w:ascii="Arial" w:hAnsi="Arial" w:cs="Arial"/>
          <w:sz w:val="21"/>
          <w:szCs w:val="21"/>
        </w:rPr>
      </w:pPr>
    </w:p>
    <w:p w:rsidR="001D74ED" w:rsidRPr="00122E19" w:rsidRDefault="001D74ED" w:rsidP="004E6D2C">
      <w:pPr>
        <w:ind w:right="-186" w:firstLine="540"/>
        <w:jc w:val="both"/>
        <w:rPr>
          <w:sz w:val="20"/>
          <w:szCs w:val="20"/>
        </w:rPr>
      </w:pPr>
      <w:r w:rsidRPr="00122E19">
        <w:rPr>
          <w:sz w:val="20"/>
          <w:szCs w:val="20"/>
        </w:rPr>
        <w:t>Настоящее Уведомление (Декларация) предоставляется Клиенту в связи с его желанием осуществлять операции с иностранными ценными бумагами, а также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(далее – иностранные ценные бумаги).</w:t>
      </w:r>
    </w:p>
    <w:p w:rsidR="001D74ED" w:rsidRPr="00122E19" w:rsidRDefault="001D74ED" w:rsidP="004E6D2C">
      <w:pPr>
        <w:ind w:right="-186" w:firstLine="540"/>
        <w:jc w:val="both"/>
        <w:rPr>
          <w:sz w:val="20"/>
          <w:szCs w:val="20"/>
        </w:rPr>
      </w:pPr>
      <w:r w:rsidRPr="00122E19">
        <w:rPr>
          <w:sz w:val="20"/>
          <w:szCs w:val="20"/>
        </w:rPr>
        <w:t>Операциям с иностранными ценными бумагами присущи общие риски, связанные с операциями на рынке ценных бумаг, описанные в Приложении 10 к настоящему регламенту, со следующими особенностями:</w:t>
      </w:r>
    </w:p>
    <w:p w:rsidR="001D74ED" w:rsidRPr="00122E19" w:rsidRDefault="001D74ED" w:rsidP="004E6D2C">
      <w:pPr>
        <w:ind w:right="-186" w:firstLine="540"/>
        <w:jc w:val="both"/>
        <w:rPr>
          <w:sz w:val="20"/>
          <w:szCs w:val="20"/>
        </w:rPr>
      </w:pPr>
      <w:r w:rsidRPr="00122E19">
        <w:rPr>
          <w:b/>
          <w:sz w:val="20"/>
          <w:szCs w:val="20"/>
        </w:rPr>
        <w:t>Системные риски</w:t>
      </w:r>
      <w:r w:rsidRPr="00122E19">
        <w:rPr>
          <w:sz w:val="20"/>
          <w:szCs w:val="20"/>
        </w:rPr>
        <w:t xml:space="preserve">, свойственные российскому фондовому рынку применительно к иностранным ценным бумагам дополняются аналогичными системными рисками, свойственными стране, где выпущены или обращаются соответствующие иностранные ценные бумаги. </w:t>
      </w:r>
    </w:p>
    <w:p w:rsidR="001D74ED" w:rsidRPr="00122E19" w:rsidRDefault="001D74ED" w:rsidP="004E6D2C">
      <w:pPr>
        <w:ind w:right="-186" w:firstLine="540"/>
        <w:jc w:val="both"/>
        <w:rPr>
          <w:sz w:val="20"/>
          <w:szCs w:val="20"/>
        </w:rPr>
      </w:pPr>
      <w:r w:rsidRPr="00122E19">
        <w:rPr>
          <w:sz w:val="20"/>
          <w:szCs w:val="20"/>
        </w:rPr>
        <w:t>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rsidR="001D74ED" w:rsidRPr="00122E19" w:rsidRDefault="001D74ED" w:rsidP="004E6D2C">
      <w:pPr>
        <w:ind w:right="-186" w:firstLine="540"/>
        <w:jc w:val="both"/>
        <w:rPr>
          <w:sz w:val="20"/>
          <w:szCs w:val="20"/>
        </w:rPr>
      </w:pPr>
      <w:r w:rsidRPr="00122E19">
        <w:rPr>
          <w:sz w:val="20"/>
          <w:szCs w:val="20"/>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вероятность одномоментной девальвации национальной валюты,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и другие.</w:t>
      </w:r>
    </w:p>
    <w:p w:rsidR="001D74ED" w:rsidRPr="00122E19" w:rsidRDefault="001D74ED" w:rsidP="004E6D2C">
      <w:pPr>
        <w:ind w:right="-186" w:firstLine="540"/>
        <w:jc w:val="both"/>
        <w:rPr>
          <w:sz w:val="20"/>
          <w:szCs w:val="20"/>
        </w:rPr>
      </w:pPr>
      <w:r w:rsidRPr="00122E19">
        <w:rPr>
          <w:sz w:val="20"/>
          <w:szCs w:val="20"/>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rsidR="001D74ED" w:rsidRPr="00122E19" w:rsidRDefault="001D74ED" w:rsidP="004E6D2C">
      <w:pPr>
        <w:ind w:right="-186" w:firstLine="540"/>
        <w:jc w:val="both"/>
        <w:rPr>
          <w:sz w:val="20"/>
          <w:szCs w:val="20"/>
        </w:rPr>
      </w:pPr>
      <w:r w:rsidRPr="00122E19">
        <w:rPr>
          <w:b/>
          <w:sz w:val="20"/>
          <w:szCs w:val="20"/>
        </w:rPr>
        <w:t>Правовые риски.</w:t>
      </w:r>
      <w:r w:rsidRPr="00122E19">
        <w:rPr>
          <w:sz w:val="20"/>
          <w:szCs w:val="20"/>
        </w:rPr>
        <w:t xml:space="preserve"> При приобретении иностранных ценных бумаг необходимо помнить о том, что они не всегда являются аналогами российских ценных бумаг и предоставляемые по ним права и правила их осуществления могут существенно отличаться от прав по российским ценным бумагам. Кроме того, при операциях с иностранными ценными бумагами Вы в большинстве случаев не сможете полагаться на защиту своих прав и законных интересов российскими уполномоченными органами.</w:t>
      </w:r>
    </w:p>
    <w:p w:rsidR="001D74ED" w:rsidRPr="00122E19" w:rsidRDefault="001D74ED" w:rsidP="004E6D2C">
      <w:pPr>
        <w:ind w:right="-186" w:firstLine="540"/>
        <w:jc w:val="both"/>
        <w:rPr>
          <w:sz w:val="20"/>
          <w:szCs w:val="20"/>
        </w:rPr>
      </w:pPr>
      <w:r w:rsidRPr="00122E19">
        <w:rPr>
          <w:b/>
          <w:sz w:val="20"/>
          <w:szCs w:val="20"/>
        </w:rPr>
        <w:t>Раскрытие информации</w:t>
      </w:r>
      <w:r w:rsidRPr="00122E19">
        <w:rPr>
          <w:sz w:val="20"/>
          <w:szCs w:val="20"/>
        </w:rPr>
        <w:t xml:space="preserve"> в отношении иностранных ценных бумаг обычно происходит на иностранном языке, кроме того правила финансовой отчетности, по которым публикуется информация эмитентом иностранных ценных бумаг могут сильно отличаться от принятых в России.</w:t>
      </w:r>
      <w:bookmarkStart w:id="2" w:name="2"/>
      <w:bookmarkEnd w:id="2"/>
      <w:r w:rsidRPr="00122E19">
        <w:rPr>
          <w:sz w:val="20"/>
          <w:szCs w:val="20"/>
        </w:rPr>
        <w:t xml:space="preserve"> Также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rsidR="001D74ED" w:rsidRPr="00122E19" w:rsidRDefault="001D74ED" w:rsidP="004E6D2C">
      <w:pPr>
        <w:rPr>
          <w:rFonts w:ascii="Arial" w:hAnsi="Arial" w:cs="Arial"/>
          <w:sz w:val="21"/>
          <w:szCs w:val="21"/>
        </w:rPr>
      </w:pPr>
    </w:p>
    <w:p w:rsidR="001D74ED" w:rsidRPr="00122E19" w:rsidRDefault="001D74ED" w:rsidP="004E6D2C">
      <w:pPr>
        <w:ind w:right="-186" w:firstLine="540"/>
        <w:jc w:val="both"/>
        <w:rPr>
          <w:b/>
          <w:sz w:val="20"/>
          <w:szCs w:val="20"/>
        </w:rPr>
      </w:pPr>
      <w:r w:rsidRPr="00122E19">
        <w:rPr>
          <w:b/>
          <w:sz w:val="20"/>
          <w:szCs w:val="20"/>
        </w:rPr>
        <w:t>Риски,  связанные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rsidR="001D74ED" w:rsidRPr="00122E19" w:rsidRDefault="001D74ED" w:rsidP="004E6D2C">
      <w:pPr>
        <w:ind w:right="-186" w:firstLine="540"/>
        <w:jc w:val="both"/>
        <w:rPr>
          <w:sz w:val="20"/>
          <w:szCs w:val="20"/>
        </w:rPr>
      </w:pPr>
      <w:r w:rsidRPr="00122E19">
        <w:rPr>
          <w:sz w:val="20"/>
          <w:szCs w:val="20"/>
        </w:rPr>
        <w:t>Заключение указанных договоров связано с рисками, характерными для всех производных финансовых инструментов, указанными в Приложении 11, а также специфическими рисками, обусловленными иностранным происхождением базисного актива.</w:t>
      </w:r>
    </w:p>
    <w:p w:rsidR="001D74ED" w:rsidRPr="00122E19" w:rsidRDefault="001D74ED" w:rsidP="004E6D2C">
      <w:pPr>
        <w:ind w:right="-186" w:firstLine="540"/>
        <w:jc w:val="both"/>
        <w:rPr>
          <w:sz w:val="20"/>
          <w:szCs w:val="20"/>
        </w:rPr>
      </w:pPr>
      <w:r w:rsidRPr="00122E19">
        <w:rPr>
          <w:sz w:val="20"/>
          <w:szCs w:val="20"/>
        </w:rPr>
        <w:t>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rsidR="001D74ED" w:rsidRPr="00122E19" w:rsidRDefault="001D74ED" w:rsidP="004E6D2C">
      <w:pPr>
        <w:ind w:right="-186" w:firstLine="540"/>
        <w:jc w:val="both"/>
        <w:rPr>
          <w:b/>
          <w:sz w:val="20"/>
          <w:szCs w:val="20"/>
        </w:rPr>
      </w:pPr>
      <w:r w:rsidRPr="00122E19">
        <w:rPr>
          <w:b/>
          <w:sz w:val="20"/>
          <w:szCs w:val="20"/>
        </w:rPr>
        <w:t>Рыночный (ценовой) риск</w:t>
      </w:r>
    </w:p>
    <w:p w:rsidR="001D74ED" w:rsidRPr="00122E19" w:rsidRDefault="001D74ED" w:rsidP="004E6D2C">
      <w:pPr>
        <w:ind w:right="-186" w:firstLine="540"/>
        <w:jc w:val="both"/>
        <w:rPr>
          <w:sz w:val="20"/>
          <w:szCs w:val="20"/>
        </w:rPr>
      </w:pPr>
      <w:r w:rsidRPr="00122E19">
        <w:rPr>
          <w:sz w:val="20"/>
          <w:szCs w:val="20"/>
        </w:rPr>
        <w:t xml:space="preserve">Помимо общего рыночного (ценового) риска, который несет клиент, совершающий операции на рынке ценных бумаг, в случае заключения фьючерсных, форвардных и своп договоров (контрактов), а также в случае продажи опционных контрактов, Клиент несет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есть возможность в сравнительно короткий срок потерять средства, являющиеся обеспечением производных финансовых инструментов. </w:t>
      </w:r>
    </w:p>
    <w:p w:rsidR="001D74ED" w:rsidRPr="00122E19" w:rsidRDefault="001D74ED" w:rsidP="004E6D2C">
      <w:pPr>
        <w:ind w:right="-186" w:firstLine="540"/>
        <w:jc w:val="both"/>
        <w:rPr>
          <w:b/>
          <w:sz w:val="20"/>
          <w:szCs w:val="20"/>
        </w:rPr>
      </w:pPr>
      <w:r w:rsidRPr="00122E19">
        <w:rPr>
          <w:b/>
          <w:sz w:val="20"/>
          <w:szCs w:val="20"/>
        </w:rPr>
        <w:t xml:space="preserve">Риск ликвидности </w:t>
      </w:r>
    </w:p>
    <w:p w:rsidR="001D74ED" w:rsidRPr="00122E19" w:rsidRDefault="001D74ED" w:rsidP="004E6D2C">
      <w:pPr>
        <w:ind w:right="-186" w:firstLine="540"/>
        <w:jc w:val="both"/>
        <w:rPr>
          <w:sz w:val="20"/>
          <w:szCs w:val="20"/>
        </w:rPr>
      </w:pPr>
      <w:r w:rsidRPr="00122E19">
        <w:rPr>
          <w:sz w:val="20"/>
          <w:szCs w:val="20"/>
        </w:rPr>
        <w:t>Необходимо обращать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 Как правило, контракты с более отдаленными сроками исполнения менее ликвидны по сравнению с контрактами с близкими сроками исполнения.</w:t>
      </w:r>
    </w:p>
    <w:p w:rsidR="001D74ED" w:rsidRPr="00122E19" w:rsidRDefault="001D74ED" w:rsidP="004E6D2C">
      <w:pPr>
        <w:ind w:right="-186" w:firstLine="540"/>
        <w:jc w:val="both"/>
        <w:rPr>
          <w:sz w:val="20"/>
          <w:szCs w:val="20"/>
        </w:rPr>
      </w:pPr>
      <w:r w:rsidRPr="00122E19">
        <w:rPr>
          <w:sz w:val="20"/>
          <w:szCs w:val="20"/>
        </w:rPr>
        <w:t xml:space="preserve">При закрытии позиции, необходимо рассматривать альтернативные варианты исключения риска посредством заключения сделок с иными производными финансовыми инструментами или с базисными активами – это позволит привести к меньшим убыткам. Однако </w:t>
      </w:r>
      <w:bookmarkStart w:id="3" w:name="3"/>
      <w:bookmarkEnd w:id="3"/>
      <w:r w:rsidRPr="00122E19">
        <w:rPr>
          <w:sz w:val="20"/>
          <w:szCs w:val="20"/>
        </w:rPr>
        <w:t>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rsidR="001D74ED" w:rsidRPr="00122E19" w:rsidRDefault="001D74ED" w:rsidP="004E6D2C">
      <w:pPr>
        <w:keepNext/>
        <w:ind w:right="-187" w:firstLine="539"/>
        <w:jc w:val="both"/>
        <w:rPr>
          <w:b/>
          <w:sz w:val="20"/>
          <w:szCs w:val="20"/>
        </w:rPr>
      </w:pPr>
      <w:r w:rsidRPr="00122E19">
        <w:rPr>
          <w:b/>
          <w:sz w:val="20"/>
          <w:szCs w:val="20"/>
        </w:rPr>
        <w:t xml:space="preserve">Ограничение распоряжения средствами, являющимися обеспечением </w:t>
      </w:r>
    </w:p>
    <w:p w:rsidR="001D74ED" w:rsidRPr="00122E19" w:rsidRDefault="001D74ED" w:rsidP="004E6D2C">
      <w:pPr>
        <w:ind w:right="-186" w:firstLine="540"/>
        <w:jc w:val="both"/>
        <w:rPr>
          <w:sz w:val="20"/>
          <w:szCs w:val="20"/>
        </w:rPr>
      </w:pPr>
      <w:r w:rsidRPr="00122E19">
        <w:rPr>
          <w:sz w:val="20"/>
          <w:szCs w:val="20"/>
        </w:rPr>
        <w:t xml:space="preserve">Имущество (часть имущества), приобретаемое в результате заключения договора, являющегося производным финансовым инструментом, является обеспечением исполнения обязательств по договору, и возможность совершения сделок с ним, будет ограничена. </w:t>
      </w:r>
    </w:p>
    <w:p w:rsidR="001D74ED" w:rsidRPr="00122E19" w:rsidRDefault="001D74ED" w:rsidP="004E6D2C">
      <w:pPr>
        <w:ind w:right="-186" w:firstLine="540"/>
        <w:jc w:val="both"/>
        <w:rPr>
          <w:b/>
          <w:sz w:val="20"/>
          <w:szCs w:val="20"/>
        </w:rPr>
      </w:pPr>
      <w:r w:rsidRPr="00122E19">
        <w:rPr>
          <w:b/>
          <w:sz w:val="20"/>
          <w:szCs w:val="20"/>
        </w:rPr>
        <w:t>Риск принудительного закрытия позиции</w:t>
      </w:r>
    </w:p>
    <w:p w:rsidR="001D74ED" w:rsidRPr="00122E19" w:rsidRDefault="001D74ED" w:rsidP="004E6D2C">
      <w:pPr>
        <w:ind w:right="-186" w:firstLine="540"/>
        <w:jc w:val="both"/>
        <w:rPr>
          <w:sz w:val="20"/>
          <w:szCs w:val="20"/>
        </w:rPr>
      </w:pPr>
      <w:r w:rsidRPr="00122E19">
        <w:rPr>
          <w:sz w:val="20"/>
          <w:szCs w:val="20"/>
        </w:rPr>
        <w:t>Неблагоприятное изменение цены может привести к необходимости внести дополнительные средства в короткий срок, что может быть проблематично для Клиента. В этом случае закрытие позиций может быть выполнено Брокером принудительно, что может привести к дополнительным убыткам</w:t>
      </w:r>
    </w:p>
    <w:p w:rsidR="001D74ED" w:rsidRPr="00122E19" w:rsidRDefault="001D74ED" w:rsidP="004E6D2C">
      <w:pPr>
        <w:ind w:right="-186" w:firstLine="540"/>
        <w:jc w:val="both"/>
        <w:rPr>
          <w:b/>
          <w:sz w:val="20"/>
          <w:szCs w:val="20"/>
        </w:rPr>
      </w:pPr>
      <w:r w:rsidRPr="00122E19">
        <w:rPr>
          <w:b/>
          <w:sz w:val="20"/>
          <w:szCs w:val="20"/>
        </w:rPr>
        <w:t>Риски, обусловленные иностранным происхождением базисного актива</w:t>
      </w:r>
    </w:p>
    <w:p w:rsidR="001D74ED" w:rsidRPr="00122E19" w:rsidRDefault="001D74ED" w:rsidP="004E6D2C">
      <w:pPr>
        <w:ind w:right="-186" w:firstLine="540"/>
        <w:jc w:val="both"/>
        <w:rPr>
          <w:sz w:val="20"/>
          <w:szCs w:val="20"/>
        </w:rPr>
      </w:pPr>
      <w:r w:rsidRPr="00122E19">
        <w:rPr>
          <w:b/>
          <w:sz w:val="20"/>
          <w:szCs w:val="20"/>
        </w:rPr>
        <w:t>Системные риски</w:t>
      </w:r>
      <w:r w:rsidRPr="00122E19">
        <w:rPr>
          <w:sz w:val="20"/>
          <w:szCs w:val="20"/>
        </w:rPr>
        <w:t>, свойственные российскому фондовому рынку применительно к иностранным ценным бумагам дополняются аналогичными системными рисками, свойственными стране, где выпущены или обращаются соответствующие иностранные ценные бумаги.</w:t>
      </w:r>
    </w:p>
    <w:p w:rsidR="001D74ED" w:rsidRPr="00122E19" w:rsidRDefault="001D74ED" w:rsidP="004E6D2C">
      <w:pPr>
        <w:ind w:right="-186" w:firstLine="540"/>
        <w:jc w:val="both"/>
        <w:rPr>
          <w:sz w:val="20"/>
          <w:szCs w:val="20"/>
        </w:rPr>
      </w:pPr>
      <w:r w:rsidRPr="00122E19">
        <w:rPr>
          <w:sz w:val="20"/>
          <w:szCs w:val="20"/>
        </w:rPr>
        <w:t>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иностранным ценным бумагам.</w:t>
      </w:r>
    </w:p>
    <w:p w:rsidR="001D74ED" w:rsidRPr="00122E19" w:rsidRDefault="001D74ED" w:rsidP="004E6D2C">
      <w:pPr>
        <w:ind w:right="-186" w:firstLine="540"/>
        <w:jc w:val="both"/>
        <w:rPr>
          <w:sz w:val="20"/>
          <w:szCs w:val="20"/>
        </w:rPr>
      </w:pPr>
      <w:r w:rsidRPr="00122E19">
        <w:rPr>
          <w:sz w:val="20"/>
          <w:szCs w:val="20"/>
        </w:rPr>
        <w:t>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rsidR="001D74ED" w:rsidRPr="00122E19" w:rsidRDefault="001D74ED" w:rsidP="004E6D2C">
      <w:pPr>
        <w:ind w:right="-186" w:firstLine="540"/>
        <w:jc w:val="both"/>
        <w:rPr>
          <w:sz w:val="20"/>
          <w:szCs w:val="20"/>
        </w:rPr>
      </w:pPr>
      <w:r w:rsidRPr="00122E19">
        <w:rPr>
          <w:sz w:val="20"/>
          <w:szCs w:val="20"/>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вероятность одномоментной девальвации национальной валюты,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и другие.</w:t>
      </w:r>
    </w:p>
    <w:p w:rsidR="001D74ED" w:rsidRPr="00122E19" w:rsidRDefault="001D74ED" w:rsidP="004E6D2C">
      <w:pPr>
        <w:ind w:right="-186" w:firstLine="540"/>
        <w:jc w:val="both"/>
        <w:rPr>
          <w:sz w:val="20"/>
          <w:szCs w:val="20"/>
        </w:rPr>
      </w:pPr>
      <w:r w:rsidRPr="00122E19">
        <w:rPr>
          <w:b/>
          <w:sz w:val="20"/>
          <w:szCs w:val="20"/>
        </w:rPr>
        <w:t>Правовые риски.</w:t>
      </w:r>
      <w:r w:rsidRPr="00122E19">
        <w:rPr>
          <w:sz w:val="20"/>
          <w:szCs w:val="20"/>
        </w:rPr>
        <w:t xml:space="preserve"> При приобретении иностранных ценных бумаг необходимо помнить о том, что они не всегда являются аналогами российских ценных бумаг и предоставляемые по ним права и правила их осуществления могут существенно отличаться от прав по российским ценным бумагам. Кроме того, при операциях с иностранными ценными бумагами Вы в большинстве случаев не сможете полагаться на защиту своих прав и законных интересов российскими уполномоченными органами.</w:t>
      </w:r>
    </w:p>
    <w:p w:rsidR="001D74ED" w:rsidRPr="00122E19" w:rsidRDefault="001D74ED" w:rsidP="004E6D2C">
      <w:pPr>
        <w:ind w:right="-186" w:firstLine="540"/>
        <w:jc w:val="both"/>
        <w:rPr>
          <w:sz w:val="20"/>
          <w:szCs w:val="20"/>
        </w:rPr>
      </w:pPr>
      <w:r w:rsidRPr="00122E19">
        <w:rPr>
          <w:b/>
          <w:sz w:val="20"/>
          <w:szCs w:val="20"/>
        </w:rPr>
        <w:t>Раскрытие информации</w:t>
      </w:r>
      <w:r w:rsidRPr="00122E19">
        <w:rPr>
          <w:sz w:val="20"/>
          <w:szCs w:val="20"/>
        </w:rPr>
        <w:t xml:space="preserve"> в отношении иностранных ценных бумаг обычно происходит на иностранном языке, кроме того правила финансовой отчетности, по которым публикуется информация эмитентом иностранных ценных бумаг, могут сильно отличаться от принятых в России. Также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rsidR="001D74ED" w:rsidRPr="00122E19" w:rsidRDefault="001D74ED" w:rsidP="004E6D2C">
      <w:pPr>
        <w:rPr>
          <w:rFonts w:ascii="Arial" w:hAnsi="Arial" w:cs="Arial"/>
          <w:sz w:val="21"/>
          <w:szCs w:val="21"/>
        </w:rPr>
      </w:pPr>
    </w:p>
    <w:p w:rsidR="001D74ED" w:rsidRPr="00122E19" w:rsidRDefault="001D74ED" w:rsidP="004E6D2C">
      <w:pPr>
        <w:jc w:val="center"/>
        <w:rPr>
          <w:b/>
          <w:i/>
          <w:sz w:val="20"/>
          <w:szCs w:val="20"/>
        </w:rPr>
      </w:pPr>
      <w:r w:rsidRPr="00122E19">
        <w:rPr>
          <w:b/>
          <w:i/>
          <w:sz w:val="20"/>
          <w:szCs w:val="20"/>
        </w:rPr>
        <w:t>Данное Уведомление (Декларация) не имеет целью заставить Клиента отказаться от осуществления операций на фондовом рынке, а призвано помочь ему понять связанные с этим риски, определить их приемлемость, реально оценить свои финансовые цели и возможности и ответственно подойти к решению вопроса о выборе своей инвестиционной стратегии</w:t>
      </w:r>
    </w:p>
    <w:p w:rsidR="001D74ED" w:rsidRPr="00122E19" w:rsidRDefault="001D74ED" w:rsidP="004E6D2C">
      <w:pPr>
        <w:jc w:val="center"/>
        <w:rPr>
          <w:sz w:val="22"/>
          <w:szCs w:val="22"/>
        </w:rPr>
        <w:sectPr w:rsidR="001D74ED" w:rsidRPr="00122E19" w:rsidSect="004C472F">
          <w:pgSz w:w="11906" w:h="16838"/>
          <w:pgMar w:top="993" w:right="748" w:bottom="709" w:left="1134" w:header="346" w:footer="244" w:gutter="0"/>
          <w:cols w:space="708"/>
          <w:docGrid w:linePitch="360"/>
        </w:sectPr>
      </w:pPr>
    </w:p>
    <w:p w:rsidR="001D74ED" w:rsidRDefault="001D74ED"/>
    <w:sectPr w:rsidR="001D74ED" w:rsidSect="00490CB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4ED" w:rsidRDefault="001D74ED" w:rsidP="004E6D2C">
      <w:r>
        <w:separator/>
      </w:r>
    </w:p>
  </w:endnote>
  <w:endnote w:type="continuationSeparator" w:id="0">
    <w:p w:rsidR="001D74ED" w:rsidRDefault="001D74ED" w:rsidP="004E6D2C">
      <w:r>
        <w:continuationSeparator/>
      </w:r>
    </w:p>
  </w:endnote>
</w:endnotes>
</file>

<file path=word/fontTable.xml><?xml version="1.0" encoding="utf-8"?>
<w:fonts xmlns:r="http://schemas.openxmlformats.org/officeDocument/2006/relationships" xmlns:w="http://schemas.openxmlformats.org/wordprocessingml/2006/main">
  <w:font w:name="Wingdings">
    <w:altName w:val="Symbol"/>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Symbol">
    <w:altName w:val="Euro Sig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4ED" w:rsidRDefault="001D74ED" w:rsidP="004A39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74ED" w:rsidRDefault="001D74ED" w:rsidP="007D74A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4ED" w:rsidRDefault="001D74ED" w:rsidP="004A39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D74ED" w:rsidRDefault="001D74ED" w:rsidP="007D74A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4ED" w:rsidRDefault="001D74ED" w:rsidP="004E6D2C">
      <w:r>
        <w:separator/>
      </w:r>
    </w:p>
  </w:footnote>
  <w:footnote w:type="continuationSeparator" w:id="0">
    <w:p w:rsidR="001D74ED" w:rsidRDefault="001D74ED" w:rsidP="004E6D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4ED" w:rsidRPr="00577EE9" w:rsidRDefault="001D74ED" w:rsidP="004E6D2C">
    <w:pPr>
      <w:pStyle w:val="Header"/>
      <w:tabs>
        <w:tab w:val="left" w:pos="7215"/>
      </w:tabs>
      <w:jc w:val="right"/>
      <w:rPr>
        <w:i/>
        <w:sz w:val="18"/>
        <w:szCs w:val="18"/>
      </w:rP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A22FC"/>
    <w:multiLevelType w:val="hybridMultilevel"/>
    <w:tmpl w:val="F53EDCC0"/>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55A515C"/>
    <w:multiLevelType w:val="hybridMultilevel"/>
    <w:tmpl w:val="EC46F33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33AB570D"/>
    <w:multiLevelType w:val="hybridMultilevel"/>
    <w:tmpl w:val="2F3EEBB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38C47DAA"/>
    <w:multiLevelType w:val="hybridMultilevel"/>
    <w:tmpl w:val="D3620F5E"/>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505C1DB1"/>
    <w:multiLevelType w:val="hybridMultilevel"/>
    <w:tmpl w:val="C13EF334"/>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5F2022D1"/>
    <w:multiLevelType w:val="hybridMultilevel"/>
    <w:tmpl w:val="A9406584"/>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72EF0D05"/>
    <w:multiLevelType w:val="hybridMultilevel"/>
    <w:tmpl w:val="17FED7C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1"/>
  </w:num>
  <w:num w:numId="3">
    <w:abstractNumId w:val="6"/>
  </w:num>
  <w:num w:numId="4">
    <w:abstractNumId w:val="0"/>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6D2C"/>
    <w:rsid w:val="00122E19"/>
    <w:rsid w:val="001D74ED"/>
    <w:rsid w:val="001F4746"/>
    <w:rsid w:val="00490CB7"/>
    <w:rsid w:val="004A39D7"/>
    <w:rsid w:val="004C472F"/>
    <w:rsid w:val="004E6D2C"/>
    <w:rsid w:val="00577EE9"/>
    <w:rsid w:val="007D74A5"/>
    <w:rsid w:val="00C76479"/>
    <w:rsid w:val="00F22815"/>
    <w:rsid w:val="00F25572"/>
    <w:rsid w:val="00F503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D2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6D2C"/>
    <w:pPr>
      <w:tabs>
        <w:tab w:val="center" w:pos="4153"/>
        <w:tab w:val="right" w:pos="8306"/>
      </w:tabs>
    </w:pPr>
    <w:rPr>
      <w:rFonts w:ascii="NTTimes/Cyrillic" w:hAnsi="NTTimes/Cyrillic"/>
      <w:sz w:val="20"/>
      <w:szCs w:val="20"/>
    </w:rPr>
  </w:style>
  <w:style w:type="character" w:customStyle="1" w:styleId="HeaderChar">
    <w:name w:val="Header Char"/>
    <w:basedOn w:val="DefaultParagraphFont"/>
    <w:link w:val="Header"/>
    <w:uiPriority w:val="99"/>
    <w:locked/>
    <w:rsid w:val="004E6D2C"/>
    <w:rPr>
      <w:rFonts w:ascii="NTTimes/Cyrillic" w:hAnsi="NTTimes/Cyrillic" w:cs="Times New Roman"/>
      <w:sz w:val="20"/>
      <w:szCs w:val="20"/>
      <w:lang w:eastAsia="ru-RU"/>
    </w:rPr>
  </w:style>
  <w:style w:type="paragraph" w:styleId="Footer">
    <w:name w:val="footer"/>
    <w:basedOn w:val="Normal"/>
    <w:link w:val="FooterChar"/>
    <w:uiPriority w:val="99"/>
    <w:rsid w:val="004E6D2C"/>
    <w:pPr>
      <w:tabs>
        <w:tab w:val="center" w:pos="4677"/>
        <w:tab w:val="right" w:pos="9355"/>
      </w:tabs>
    </w:pPr>
  </w:style>
  <w:style w:type="character" w:customStyle="1" w:styleId="FooterChar">
    <w:name w:val="Footer Char"/>
    <w:basedOn w:val="DefaultParagraphFont"/>
    <w:link w:val="Footer"/>
    <w:uiPriority w:val="99"/>
    <w:locked/>
    <w:rsid w:val="004E6D2C"/>
    <w:rPr>
      <w:rFonts w:ascii="Times New Roman" w:hAnsi="Times New Roman" w:cs="Times New Roman"/>
      <w:sz w:val="24"/>
      <w:szCs w:val="24"/>
      <w:lang w:eastAsia="ru-RU"/>
    </w:rPr>
  </w:style>
  <w:style w:type="paragraph" w:styleId="BodyText3">
    <w:name w:val="Body Text 3"/>
    <w:basedOn w:val="Normal"/>
    <w:link w:val="BodyText3Char"/>
    <w:uiPriority w:val="99"/>
    <w:rsid w:val="004E6D2C"/>
    <w:pPr>
      <w:jc w:val="both"/>
    </w:pPr>
    <w:rPr>
      <w:sz w:val="20"/>
      <w:szCs w:val="20"/>
    </w:rPr>
  </w:style>
  <w:style w:type="character" w:customStyle="1" w:styleId="BodyText3Char">
    <w:name w:val="Body Text 3 Char"/>
    <w:basedOn w:val="DefaultParagraphFont"/>
    <w:link w:val="BodyText3"/>
    <w:uiPriority w:val="99"/>
    <w:locked/>
    <w:rsid w:val="004E6D2C"/>
    <w:rPr>
      <w:rFonts w:ascii="Times New Roman" w:hAnsi="Times New Roman" w:cs="Times New Roman"/>
      <w:sz w:val="20"/>
      <w:szCs w:val="20"/>
      <w:lang w:eastAsia="ru-RU"/>
    </w:rPr>
  </w:style>
  <w:style w:type="paragraph" w:customStyle="1" w:styleId="a">
    <w:name w:val="Параграф"/>
    <w:basedOn w:val="Normal"/>
    <w:uiPriority w:val="99"/>
    <w:rsid w:val="004E6D2C"/>
    <w:pPr>
      <w:spacing w:after="5"/>
      <w:ind w:firstLine="680"/>
      <w:contextualSpacing/>
      <w:jc w:val="both"/>
    </w:pPr>
    <w:rPr>
      <w:sz w:val="20"/>
      <w:szCs w:val="20"/>
    </w:rPr>
  </w:style>
  <w:style w:type="character" w:styleId="PageNumber">
    <w:name w:val="page number"/>
    <w:basedOn w:val="DefaultParagraphFont"/>
    <w:uiPriority w:val="99"/>
    <w:rsid w:val="007D74A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4157</Words>
  <Characters>23698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cvu</cp:lastModifiedBy>
  <cp:revision>2</cp:revision>
  <cp:lastPrinted>2017-03-20T13:55:00Z</cp:lastPrinted>
  <dcterms:created xsi:type="dcterms:W3CDTF">2016-12-17T13:39:00Z</dcterms:created>
  <dcterms:modified xsi:type="dcterms:W3CDTF">2017-03-20T13:55:00Z</dcterms:modified>
</cp:coreProperties>
</file>