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88"/>
        <w:gridCol w:w="1087"/>
        <w:gridCol w:w="1672"/>
        <w:gridCol w:w="1726"/>
        <w:gridCol w:w="721"/>
        <w:gridCol w:w="1348"/>
        <w:gridCol w:w="1150"/>
        <w:gridCol w:w="905"/>
        <w:gridCol w:w="1658"/>
        <w:gridCol w:w="1026"/>
        <w:gridCol w:w="977"/>
        <w:gridCol w:w="1683"/>
      </w:tblGrid>
      <w:tr w:rsidR="00987B70" w:rsidRPr="00987B70" w:rsidTr="00987B70">
        <w:trPr>
          <w:trHeight w:val="115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bookmarkStart w:id="0" w:name="RANGE!A1:L51"/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АКТ                                                                                                                                                                                                  ОБЩЕГО (ОСЕННЕГО) ОСМОТРА ОБЩЕГО ИМУЩЕСТВА МНОГОКВАРТИРНОГО ДОМА, РАСПОЛОЖЕННОГО ПО АДРЕСУ: пер. Шевченко, 11</w:t>
            </w:r>
            <w:bookmarkEnd w:id="0"/>
          </w:p>
        </w:tc>
      </w:tr>
      <w:tr w:rsidR="00987B70" w:rsidRPr="00987B70" w:rsidTr="00987B70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г. Владивосток                                                                                                                 25 августа 2021 г.</w:t>
            </w:r>
          </w:p>
        </w:tc>
      </w:tr>
      <w:tr w:rsidR="00987B70" w:rsidRPr="00987B70" w:rsidTr="00987B70">
        <w:trPr>
          <w:trHeight w:val="420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ОБЩИЕ СВЕДЕНИЯ</w:t>
            </w:r>
          </w:p>
        </w:tc>
      </w:tr>
      <w:tr w:rsidR="00987B70" w:rsidRPr="00987B70" w:rsidTr="00987B70">
        <w:trPr>
          <w:trHeight w:val="5085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ООО «Управляющая компания СТАНДАРТ»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ИНН / КПП:  2537054082 / 253701001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ОГРН: 1082537004395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БИК: 040507705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(приёмная): 8(423) 253-69-87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Телефон (диспетчер): 8(423) 201-28-21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/сч: 40702810500080000281 в ПАО «Дальневосточный банк» г. Владивостока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Кор/сч: 30101810900000000705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>e-</w:t>
            </w:r>
            <w:proofErr w:type="spell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mail</w:t>
            </w:r>
            <w:proofErr w:type="spell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: ukstandart-dv@mail.ru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987B70" w:rsidRPr="00987B70" w:rsidTr="00987B70">
        <w:trPr>
          <w:trHeight w:val="503"/>
        </w:trPr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1. Тип МКД</w:t>
            </w:r>
          </w:p>
        </w:tc>
        <w:tc>
          <w:tcPr>
            <w:tcW w:w="1119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многоквартирный дом</w:t>
            </w:r>
          </w:p>
        </w:tc>
      </w:tr>
      <w:tr w:rsidR="00987B70" w:rsidRPr="00987B70" w:rsidTr="00987B70">
        <w:trPr>
          <w:trHeight w:val="840"/>
        </w:trPr>
        <w:tc>
          <w:tcPr>
            <w:tcW w:w="5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2. Год постройки (ввода в эксплуатацию)</w:t>
            </w:r>
          </w:p>
        </w:tc>
        <w:tc>
          <w:tcPr>
            <w:tcW w:w="20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1952</w:t>
            </w:r>
          </w:p>
        </w:tc>
        <w:tc>
          <w:tcPr>
            <w:tcW w:w="5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2012</w:t>
            </w:r>
          </w:p>
        </w:tc>
      </w:tr>
      <w:tr w:rsidR="00987B70" w:rsidRPr="00987B70" w:rsidTr="00987B70">
        <w:trPr>
          <w:trHeight w:val="300"/>
        </w:trPr>
        <w:tc>
          <w:tcPr>
            <w:tcW w:w="15041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987B70" w:rsidRPr="00987B70" w:rsidTr="00987B70">
        <w:trPr>
          <w:trHeight w:val="405"/>
        </w:trPr>
        <w:tc>
          <w:tcPr>
            <w:tcW w:w="7642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Программы капитального ремонта:</w:t>
            </w:r>
          </w:p>
        </w:tc>
        <w:tc>
          <w:tcPr>
            <w:tcW w:w="7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по видам работ</w:t>
            </w:r>
          </w:p>
        </w:tc>
      </w:tr>
      <w:tr w:rsidR="00987B70" w:rsidRPr="00987B70" w:rsidTr="00987B70">
        <w:trPr>
          <w:trHeight w:val="1215"/>
        </w:trPr>
        <w:tc>
          <w:tcPr>
            <w:tcW w:w="7642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ОПУ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ГВС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ХВС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 другие      виды работ</w:t>
            </w:r>
          </w:p>
        </w:tc>
      </w:tr>
      <w:tr w:rsidR="00987B70" w:rsidRPr="00987B70" w:rsidTr="00987B70">
        <w:trPr>
          <w:trHeight w:val="405"/>
        </w:trPr>
        <w:tc>
          <w:tcPr>
            <w:tcW w:w="764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сре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дств вс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 том числе:</w:t>
            </w: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852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6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20"/>
        </w:trPr>
        <w:tc>
          <w:tcPr>
            <w:tcW w:w="113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87B70" w:rsidRPr="00987B70" w:rsidTr="00987B70">
        <w:trPr>
          <w:trHeight w:val="42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6. Характеристика объекта</w:t>
            </w:r>
          </w:p>
        </w:tc>
      </w:tr>
      <w:tr w:rsidR="00987B70" w:rsidRPr="00987B70" w:rsidTr="00987B70">
        <w:trPr>
          <w:trHeight w:val="1027"/>
        </w:trPr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износ, %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72%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этажность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 + цокольный этаж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количество квартир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</w:tr>
      <w:tr w:rsidR="00987B70" w:rsidRPr="00987B70" w:rsidTr="00987B70">
        <w:trPr>
          <w:trHeight w:val="368"/>
        </w:trPr>
        <w:tc>
          <w:tcPr>
            <w:tcW w:w="21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дома, </w:t>
            </w:r>
            <w:proofErr w:type="spell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87B70" w:rsidRPr="00987B70" w:rsidRDefault="00073B03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1904.7</w:t>
            </w:r>
          </w:p>
        </w:tc>
        <w:tc>
          <w:tcPr>
            <w:tcW w:w="24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жилых помещений, </w:t>
            </w:r>
            <w:proofErr w:type="spell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34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1518.5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нежилых помещений, </w:t>
            </w:r>
            <w:proofErr w:type="spell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0,00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общая площадь мест общего пользования, </w:t>
            </w:r>
            <w:proofErr w:type="spell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987B70" w:rsidRPr="00987B70" w:rsidRDefault="00073B03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386.2</w:t>
            </w:r>
          </w:p>
        </w:tc>
      </w:tr>
      <w:tr w:rsidR="00987B70" w:rsidRPr="00987B70" w:rsidTr="00987B70">
        <w:trPr>
          <w:trHeight w:val="1020"/>
        </w:trPr>
        <w:tc>
          <w:tcPr>
            <w:tcW w:w="21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0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987B70" w:rsidRPr="00987B70" w:rsidTr="00987B70">
        <w:trPr>
          <w:trHeight w:val="525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7. Инженерное оборудование</w:t>
            </w:r>
          </w:p>
        </w:tc>
      </w:tr>
      <w:tr w:rsidR="00987B70" w:rsidRPr="00987B70" w:rsidTr="00987B70">
        <w:trPr>
          <w:trHeight w:val="91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количество, шт.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наличие общедомовых приборов учета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примечание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тепловой пункт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3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водомерный узел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тепловой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водопроводный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электрический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есть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газовый ввод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система АППЗ и ДУ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лифты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нет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987B70" w:rsidRPr="00987B70" w:rsidTr="00987B70">
        <w:trPr>
          <w:trHeight w:val="600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8. Описание основных конструктивных элементов</w:t>
            </w:r>
          </w:p>
        </w:tc>
      </w:tr>
      <w:tr w:rsidR="00987B70" w:rsidRPr="00987B70" w:rsidTr="00987B70">
        <w:trPr>
          <w:trHeight w:val="114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элемента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площадь, </w:t>
            </w:r>
            <w:proofErr w:type="spellStart"/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кв.м</w:t>
            </w:r>
            <w:proofErr w:type="spellEnd"/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987B70" w:rsidRPr="00987B70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137.06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C513DE" w:rsidRPr="00987B70" w:rsidTr="00987B70">
        <w:trPr>
          <w:trHeight w:val="37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3DE" w:rsidRPr="00987B70" w:rsidRDefault="00C513DE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bookmarkStart w:id="1" w:name="_GoBack" w:colFirst="0" w:colLast="2"/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13DE" w:rsidRPr="00987B70" w:rsidRDefault="00C513DE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81.36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513DE" w:rsidRPr="00987B70" w:rsidRDefault="00C513DE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Цементно-песчаная стяжка</w:t>
            </w:r>
          </w:p>
        </w:tc>
      </w:tr>
      <w:bookmarkEnd w:id="1"/>
      <w:tr w:rsidR="00987B70" w:rsidRPr="00987B70" w:rsidTr="00987B70">
        <w:trPr>
          <w:trHeight w:val="1844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1 145.7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Выполнены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из шлакоблоков с кирпичными поясами. Верхняя часть стен обрамлена железобетонными карнизными блоками с вылетом 0.54 м.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987B70" w:rsidRPr="00987B70" w:rsidTr="00987B70">
        <w:trPr>
          <w:trHeight w:val="49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Каркасные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, деревянные, заполненные утеплителем.</w:t>
            </w:r>
          </w:p>
        </w:tc>
      </w:tr>
      <w:tr w:rsidR="00987B70" w:rsidRPr="00987B70" w:rsidTr="00987B70">
        <w:trPr>
          <w:trHeight w:val="376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кровля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предусмотрены слуховые окна Несущие конструкции крыши покрыты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известковым раствором. Водосток наружный организованный, выполнен трубами из оцинкованной жести. </w:t>
            </w:r>
          </w:p>
        </w:tc>
      </w:tr>
      <w:tr w:rsidR="00987B70" w:rsidRPr="00987B70" w:rsidTr="00987B70">
        <w:trPr>
          <w:trHeight w:val="1464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2 634.77 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Чердачные перекрытия - бетонные балки с деревянным заполнением, оштукатуренные,   междуэтажные перекрытия - деревянные по деревянно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 накату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.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одвальные – железобетонные плиты. </w:t>
            </w:r>
          </w:p>
        </w:tc>
      </w:tr>
      <w:tr w:rsidR="00987B70" w:rsidRPr="00987B70" w:rsidTr="00987B70">
        <w:trPr>
          <w:trHeight w:val="127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лестницы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263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Лестничные марши выполнены из сборных каменных ступеней по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стальным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987B70" w:rsidRPr="00987B70" w:rsidTr="00987B70">
        <w:trPr>
          <w:trHeight w:val="33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подвал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87.9</w:t>
            </w:r>
          </w:p>
        </w:tc>
        <w:tc>
          <w:tcPr>
            <w:tcW w:w="874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Стены – бутовый камень,</w:t>
            </w:r>
          </w:p>
        </w:tc>
      </w:tr>
      <w:tr w:rsidR="00987B70" w:rsidRPr="00987B70" w:rsidTr="00987B70">
        <w:trPr>
          <w:trHeight w:val="62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  <w:t>9. Описание внутренних инженерных систем</w:t>
            </w:r>
          </w:p>
        </w:tc>
      </w:tr>
      <w:tr w:rsidR="00987B70" w:rsidRPr="00987B70" w:rsidTr="00987B70">
        <w:trPr>
          <w:trHeight w:val="444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  <w:t>наименование системы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b/>
                <w:color w:val="000000"/>
                <w:sz w:val="32"/>
                <w:szCs w:val="32"/>
                <w:lang w:eastAsia="ru-RU"/>
              </w:rPr>
              <w:t>описание</w:t>
            </w:r>
          </w:p>
        </w:tc>
      </w:tr>
      <w:tr w:rsidR="00987B70" w:rsidRPr="00987B70" w:rsidTr="00987B70">
        <w:trPr>
          <w:trHeight w:val="49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ВРУ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распол</w:t>
            </w:r>
            <w:r w:rsidR="00244A6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ожен в вестибюле 2-ого подъезда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. Разводка системы электроснабжения от ВРУ выполнена закрытым способом и проложена по конструкциям внутренних стен. На каждом этаже здания установлены распределительные щиты. К распределительным щитам кабели проложены в каналах, устроенных в кирпичной кладке. Групповая сеть выполнена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скрытой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под слоем штукатурного слоя.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 (в собственности МУПВ "ВПЭС") в составе: прибор учёта ПСЧ-3ТА.07.112.2  № , измерительные трансформаторы тока Т-0.66 М УЗ №№ </w:t>
            </w:r>
          </w:p>
        </w:tc>
      </w:tr>
      <w:tr w:rsidR="00987B70" w:rsidRPr="00987B70" w:rsidTr="00987B70">
        <w:trPr>
          <w:trHeight w:val="22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Горячее водоснабжение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Не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ависимая.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Выполнена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стальными  водогазопроводными трубами. Подача и обратный трубопровод Ø 80 мм. Трубопровод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проложен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открыто по стенам помещения технического подвала. Внутренняя разводка сетей горячего водоснабжения от магистральной трубы до потребителей выполнена из стальных труб Ø 25 мм.17.10.2020 г. установлен теплосчётчик ВКТ-9.2.1.</w:t>
            </w:r>
            <w:r w:rsidR="0095048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Открытый </w:t>
            </w:r>
            <w:proofErr w:type="spellStart"/>
            <w:r w:rsidR="0095048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водоразбор</w:t>
            </w:r>
            <w:proofErr w:type="spellEnd"/>
          </w:p>
        </w:tc>
      </w:tr>
      <w:tr w:rsidR="00987B70" w:rsidRPr="00987B70" w:rsidTr="00987B70">
        <w:trPr>
          <w:trHeight w:val="213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холодное водоснабжение 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транзитной магистрали КГУП «Приморский водоканал», выполнена стальными водогазопроводными трубами.  Устроен один ввод Ø 90 мм. Трубопровод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проложен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открыто по стенам помещения технического подвала. Внутренняя разводка сетей холодного водоснабжения от магистральной трубы до потребителей выполнена их стальных труб Ø 25 мм</w:t>
            </w:r>
          </w:p>
        </w:tc>
      </w:tr>
      <w:tr w:rsidR="00987B70" w:rsidRPr="00987B70" w:rsidTr="00987B70">
        <w:trPr>
          <w:trHeight w:val="688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водоотведение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выпуск в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магистральные сети «КГУП «Приморский водоканал» 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выполнено чугунными 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и частично ПВХ </w:t>
            </w: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трубами. </w:t>
            </w:r>
          </w:p>
        </w:tc>
      </w:tr>
      <w:tr w:rsidR="00987B70" w:rsidRPr="00987B70" w:rsidTr="00987B70">
        <w:trPr>
          <w:trHeight w:val="109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отопление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Централизованная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, от городских сетей ОАО «ДГК», выполнена стальными водогазопроводными трубами. Верхняя разводка. 17.10.2020 г. </w:t>
            </w:r>
            <w:proofErr w:type="gramStart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установлен</w:t>
            </w:r>
            <w:proofErr w:type="gramEnd"/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теплосчётчик ВКТ-9.2.1.</w:t>
            </w:r>
          </w:p>
        </w:tc>
      </w:tr>
      <w:tr w:rsidR="00987B70" w:rsidRPr="00987B70" w:rsidTr="00987B70">
        <w:trPr>
          <w:trHeight w:val="402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АППЗ и ДУ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  <w:tr w:rsidR="00987B70" w:rsidRPr="00987B70" w:rsidTr="00987B70">
        <w:trPr>
          <w:trHeight w:val="443"/>
        </w:trPr>
        <w:tc>
          <w:tcPr>
            <w:tcW w:w="1504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10. Источники: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теплоснабжения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ОА "ДГК"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энергоснабжения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ПАО "ДЭК"</w:t>
            </w:r>
          </w:p>
        </w:tc>
      </w:tr>
      <w:tr w:rsidR="00987B70" w:rsidRPr="00987B70" w:rsidTr="00987B70">
        <w:trPr>
          <w:trHeight w:val="405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водоснабжения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КГУП "Приморский водоканал"</w:t>
            </w:r>
          </w:p>
        </w:tc>
      </w:tr>
      <w:tr w:rsidR="00987B70" w:rsidRPr="00987B70" w:rsidTr="00987B70">
        <w:trPr>
          <w:trHeight w:val="420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газоснабжения</w:t>
            </w:r>
          </w:p>
        </w:tc>
        <w:tc>
          <w:tcPr>
            <w:tcW w:w="1119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87B70" w:rsidRPr="00987B70" w:rsidRDefault="00987B70" w:rsidP="00987B70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987B70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отсутствует</w:t>
            </w:r>
          </w:p>
        </w:tc>
      </w:tr>
    </w:tbl>
    <w:p w:rsidR="001851B4" w:rsidRDefault="001851B4"/>
    <w:p w:rsidR="00487CC5" w:rsidRPr="00487CC5" w:rsidRDefault="00487CC5" w:rsidP="00487CC5">
      <w:pPr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bookmarkStart w:id="2" w:name="RANGE!A1:F73"/>
      <w:r w:rsidRPr="00487CC5">
        <w:rPr>
          <w:rFonts w:eastAsia="Times New Roman"/>
          <w:b/>
          <w:bCs/>
          <w:color w:val="000000"/>
          <w:sz w:val="32"/>
          <w:szCs w:val="32"/>
          <w:lang w:eastAsia="ru-RU"/>
        </w:rPr>
        <w:t>Комиссия в составе:</w:t>
      </w:r>
    </w:p>
    <w:bookmarkEnd w:id="2"/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>Председатель комиссии:</w:t>
      </w:r>
    </w:p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>Главный инженер ООО "УК СТАНДАРТ"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   </w:t>
      </w:r>
      <w:r w:rsidRPr="00487CC5">
        <w:rPr>
          <w:rFonts w:eastAsia="Times New Roman"/>
          <w:color w:val="000000"/>
          <w:sz w:val="32"/>
          <w:szCs w:val="32"/>
          <w:lang w:eastAsia="ru-RU"/>
        </w:rPr>
        <w:t>Цылёв А.А.</w:t>
      </w:r>
    </w:p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>Члены комиссии:</w:t>
      </w:r>
    </w:p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>Заместитель генерального директор</w:t>
      </w:r>
      <w:proofErr w:type="gramStart"/>
      <w:r w:rsidRPr="00487CC5">
        <w:rPr>
          <w:rFonts w:eastAsia="Times New Roman"/>
          <w:color w:val="000000"/>
          <w:sz w:val="32"/>
          <w:szCs w:val="32"/>
          <w:lang w:eastAsia="ru-RU"/>
        </w:rPr>
        <w:t>а ООО</w:t>
      </w:r>
      <w:proofErr w:type="gramEnd"/>
      <w:r w:rsidRPr="00487CC5">
        <w:rPr>
          <w:rFonts w:eastAsia="Times New Roman"/>
          <w:color w:val="000000"/>
          <w:sz w:val="32"/>
          <w:szCs w:val="32"/>
          <w:lang w:eastAsia="ru-RU"/>
        </w:rPr>
        <w:t xml:space="preserve"> "УК СТАНДАРТ"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   </w:t>
      </w:r>
      <w:r w:rsidRPr="00487CC5">
        <w:rPr>
          <w:rFonts w:eastAsia="Times New Roman"/>
          <w:color w:val="000000"/>
          <w:sz w:val="32"/>
          <w:szCs w:val="32"/>
          <w:lang w:eastAsia="ru-RU"/>
        </w:rPr>
        <w:t>Климовский А.Д.</w:t>
      </w:r>
    </w:p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>Представитель собственников помещений: Председатель Совета МКД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   </w:t>
      </w:r>
      <w:proofErr w:type="spellStart"/>
      <w:r w:rsidRPr="00487CC5">
        <w:rPr>
          <w:rFonts w:eastAsia="Times New Roman"/>
          <w:color w:val="000000"/>
          <w:sz w:val="32"/>
          <w:szCs w:val="32"/>
          <w:lang w:eastAsia="ru-RU"/>
        </w:rPr>
        <w:t>Караева</w:t>
      </w:r>
      <w:proofErr w:type="spellEnd"/>
      <w:r w:rsidRPr="00487CC5">
        <w:rPr>
          <w:rFonts w:eastAsia="Times New Roman"/>
          <w:color w:val="000000"/>
          <w:sz w:val="32"/>
          <w:szCs w:val="32"/>
          <w:lang w:eastAsia="ru-RU"/>
        </w:rPr>
        <w:t xml:space="preserve"> Г.В.</w:t>
      </w:r>
    </w:p>
    <w:p w:rsidR="00487CC5" w:rsidRPr="00487CC5" w:rsidRDefault="00487CC5" w:rsidP="00487CC5">
      <w:pPr>
        <w:rPr>
          <w:rFonts w:eastAsia="Times New Roman"/>
          <w:color w:val="000000"/>
          <w:sz w:val="32"/>
          <w:szCs w:val="32"/>
          <w:lang w:eastAsia="ru-RU"/>
        </w:rPr>
      </w:pPr>
      <w:r w:rsidRPr="00487CC5">
        <w:rPr>
          <w:rFonts w:eastAsia="Times New Roman"/>
          <w:color w:val="000000"/>
          <w:sz w:val="32"/>
          <w:szCs w:val="32"/>
          <w:lang w:eastAsia="ru-RU"/>
        </w:rPr>
        <w:t xml:space="preserve">     произвела общий (осенний) осмотр элементов общего имущества многоквартирного дома.                                                        При осмотре установлено следующее:</w:t>
      </w:r>
    </w:p>
    <w:p w:rsidR="00487CC5" w:rsidRDefault="00487CC5" w:rsidP="00487CC5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</w:p>
    <w:p w:rsidR="00487CC5" w:rsidRDefault="00487CC5" w:rsidP="00487CC5">
      <w:pPr>
        <w:jc w:val="center"/>
      </w:pPr>
      <w:r w:rsidRPr="00487CC5">
        <w:rPr>
          <w:rFonts w:eastAsia="Times New Roman"/>
          <w:b/>
          <w:bCs/>
          <w:color w:val="000000"/>
          <w:sz w:val="32"/>
          <w:szCs w:val="32"/>
          <w:lang w:eastAsia="ru-RU"/>
        </w:rPr>
        <w:t>РЕЗУЛЬТАТЫ ОСМОТРА                                                                                                                                                                            технического состояния</w:t>
      </w:r>
      <w:r w:rsidRPr="00487CC5">
        <w:rPr>
          <w:rFonts w:eastAsia="Times New Roman"/>
          <w:b/>
          <w:bCs/>
          <w:color w:val="000000"/>
          <w:sz w:val="32"/>
          <w:szCs w:val="32"/>
          <w:lang w:eastAsia="ru-RU"/>
        </w:rPr>
        <w:br/>
        <w:t>строительных конструкций и инженерного оборудования</w:t>
      </w: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674"/>
        <w:gridCol w:w="3214"/>
        <w:gridCol w:w="5500"/>
        <w:gridCol w:w="5511"/>
      </w:tblGrid>
      <w:tr w:rsidR="00487CC5" w:rsidRPr="00487CC5" w:rsidTr="00244A60">
        <w:trPr>
          <w:trHeight w:val="1812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                ВСН 53-86 (р)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Дефекты, выявленные при осмотре</w:t>
            </w:r>
          </w:p>
        </w:tc>
      </w:tr>
      <w:tr w:rsidR="00487CC5" w:rsidRPr="00487CC5" w:rsidTr="00244A60">
        <w:trPr>
          <w:trHeight w:val="137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Фундамент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Процент износа - 80%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Следы увлажнения цоколя и стен, выпучивание отдельных участков стен подвала, неравномерная осадка фундамента</w:t>
            </w:r>
          </w:p>
        </w:tc>
      </w:tr>
      <w:tr w:rsidR="00487CC5" w:rsidRPr="00487CC5" w:rsidTr="00244A60">
        <w:trPr>
          <w:trHeight w:val="16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Цоколь (подвал)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Процент износа - 80%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Отслоение и отпадение штукатурки, карнизов и перемычек; выветривание швов; ослабление кирпичной кладки. Следы увлажнения цоколя и стен, выпучивание отдельных участков стен подвала</w:t>
            </w:r>
          </w:p>
        </w:tc>
      </w:tr>
      <w:tr w:rsidR="00487CC5" w:rsidRPr="00487CC5" w:rsidTr="00244A60">
        <w:trPr>
          <w:trHeight w:val="937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Стены наружные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Следы увлажнения выветривание швов и камней кладки; отпадение штукатурки</w:t>
            </w:r>
            <w:r>
              <w:t xml:space="preserve"> </w:t>
            </w: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следы увлажнения</w:t>
            </w:r>
          </w:p>
        </w:tc>
      </w:tr>
      <w:tr w:rsidR="00487CC5" w:rsidRPr="00487CC5" w:rsidTr="00244A60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Стены внутренние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- 70%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.</w:t>
            </w:r>
          </w:p>
        </w:tc>
      </w:tr>
      <w:tr w:rsidR="00487CC5" w:rsidRPr="00487CC5" w:rsidTr="00244A60">
        <w:trPr>
          <w:trHeight w:val="72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Фасад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 - 80%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Следы увлажнения выветривание швов и камней кладки; отпадение штукатурки</w:t>
            </w:r>
          </w:p>
        </w:tc>
      </w:tr>
      <w:tr w:rsidR="00487CC5" w:rsidRPr="00487CC5" w:rsidTr="00244A60">
        <w:trPr>
          <w:trHeight w:val="126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Несущие и ограждающие конструкции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неудовлетворительное Процент износа - 80%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Следы увлажнения выветривание швов и камней кладки; отпадение штукатурки кирпичей; следы увлажнения</w:t>
            </w:r>
          </w:p>
        </w:tc>
      </w:tr>
      <w:tr w:rsidR="00487CC5" w:rsidRPr="00487CC5" w:rsidTr="00244A60">
        <w:trPr>
          <w:trHeight w:val="685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Водостоки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               Процент износа - 55 %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дефектов не выявлено.</w:t>
            </w:r>
          </w:p>
        </w:tc>
      </w:tr>
      <w:tr w:rsidR="00487CC5" w:rsidRPr="00487CC5" w:rsidTr="00244A60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Перекрытия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Провести визуальный осмотр не представилось 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. Предельный минимальный срок между капитальными ремонтами междуэтажных и чердачных перекрытий истёк.</w:t>
            </w:r>
          </w:p>
        </w:tc>
      </w:tr>
      <w:tr w:rsidR="00487CC5" w:rsidRPr="00487CC5" w:rsidTr="00244A60">
        <w:trPr>
          <w:trHeight w:val="8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Отмостка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-80%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Стирание поверхности в ходовых местах; выбоины до 0,5 м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2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на площади до 25 %</w:t>
            </w:r>
          </w:p>
        </w:tc>
      </w:tr>
      <w:tr w:rsidR="00487CC5" w:rsidRPr="00487CC5" w:rsidTr="00244A60">
        <w:trPr>
          <w:trHeight w:val="133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Кровля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Процент износа -40%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Поражение гнилью мауэрлата и концов стропильных ног, ослабление врубок и соединений. При визуальном осмотре кровли дефектов не выявлено.</w:t>
            </w:r>
          </w:p>
        </w:tc>
      </w:tr>
      <w:tr w:rsidR="00487CC5" w:rsidRPr="00487CC5" w:rsidTr="00244A60">
        <w:trPr>
          <w:trHeight w:val="214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Полы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Процент износа  - 80 %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Стирание поверхности в ходовых местах; выбоины до 0,5 м2 на площади до 25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%  В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техническом подвале имеется штроба глубиной до 10 см Стирание досок в ходовых местах, сколы досок местами, повреждений отдельных досок</w:t>
            </w:r>
          </w:p>
        </w:tc>
      </w:tr>
      <w:tr w:rsidR="00487CC5" w:rsidRPr="00487CC5" w:rsidTr="00244A60">
        <w:trPr>
          <w:trHeight w:val="9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Перегородки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Процент износа  - 70 %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Провести визуальный осмотр элементов «перегородки и стены внутренние» не представилось 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возможным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.</w:t>
            </w:r>
          </w:p>
        </w:tc>
      </w:tr>
      <w:tr w:rsidR="00487CC5" w:rsidRPr="00487CC5" w:rsidTr="00244A60">
        <w:trPr>
          <w:trHeight w:val="12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Оконные заполнения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удовлетворительное  Процент износа  - 20 %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Нарушение герметизации оконных коробок, приборы частично утеряны или неисправны, повреждение оконных отливов </w:t>
            </w:r>
          </w:p>
        </w:tc>
      </w:tr>
      <w:tr w:rsidR="00487CC5" w:rsidRPr="00487CC5" w:rsidTr="00244A60">
        <w:trPr>
          <w:trHeight w:val="8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Дверные заполнения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Процент износа  - 25 %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В ходе визуального осмотра дефектов не выявлено. </w:t>
            </w:r>
          </w:p>
        </w:tc>
      </w:tr>
      <w:tr w:rsidR="00487CC5" w:rsidRPr="00487CC5" w:rsidTr="00244A60">
        <w:trPr>
          <w:trHeight w:val="9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Лестничные клетки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Процент износа  - 80%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В ходе визуального осмотра дефектов не выявлено. </w:t>
            </w:r>
          </w:p>
        </w:tc>
      </w:tr>
      <w:tr w:rsidR="00487CC5" w:rsidRPr="00487CC5" w:rsidTr="00244A60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Балконы и лоджии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 65 %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 ходе визуального осмотра дефекты не выявлены</w:t>
            </w:r>
          </w:p>
        </w:tc>
      </w:tr>
      <w:tr w:rsidR="00487CC5" w:rsidRPr="00487CC5" w:rsidTr="00244A60">
        <w:trPr>
          <w:trHeight w:val="40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Общие коридоры и тамбуры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 80 %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Штукатурка: Глубокие трещины, мелкие пробоины, отслоение накрывочного слоя местами.</w:t>
            </w:r>
            <w:r>
              <w:rPr>
                <w:rFonts w:eastAsia="Times New Roman"/>
                <w:sz w:val="32"/>
                <w:szCs w:val="32"/>
                <w:lang w:eastAsia="ru-RU"/>
              </w:rPr>
              <w:t xml:space="preserve"> </w:t>
            </w: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Выпучивание и отпадение штукатурки и листов местами, более 10 м</w:t>
            </w:r>
            <w:proofErr w:type="gramStart"/>
            <w:r w:rsidRPr="00213933">
              <w:rPr>
                <w:rFonts w:eastAsia="Times New Roman"/>
                <w:sz w:val="32"/>
                <w:szCs w:val="32"/>
                <w:vertAlign w:val="superscript"/>
                <w:lang w:eastAsia="ru-RU"/>
              </w:rPr>
              <w:t>2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на площади до 5 %. Окраска в помещениях водными составами: Окрасочный слой местами потемнел и загрязнился, в отдельных местах поврежден.  Следы протечек, ржавые пятна, отслоение, вздутие и отпадение окрасочного слоя со шпаклевкой; на поверхности глубокие трещины, царапины, выбоины. Окраска безводными составами (масляными, алкидными красками, эмалями, </w:t>
            </w:r>
            <w:r w:rsidRPr="00487CC5">
              <w:rPr>
                <w:rFonts w:eastAsia="Times New Roman"/>
                <w:sz w:val="32"/>
                <w:szCs w:val="32"/>
                <w:lang w:eastAsia="ru-RU"/>
              </w:rPr>
              <w:lastRenderedPageBreak/>
              <w:t>лаками и др.) стен, потолков: 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</w:t>
            </w:r>
          </w:p>
        </w:tc>
      </w:tr>
      <w:tr w:rsidR="00487CC5" w:rsidRPr="00487CC5" w:rsidTr="00244A60">
        <w:trPr>
          <w:trHeight w:val="44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отопления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Процент износа  80%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Капельные течи в стояках и магистралях в местах соединений, следы протечек в отопительных приборах, следы их восстановления, неудовлетворительная работа отопительных приборов, большое количество хомутов на стояках и в магистралях, следы их ремонта отдельными местами выборочной заменой; значительное нарушение теплоизоляции стояков и магистралей, коррозия трубопроводов магистралей и стояков, отсутствие Предельный срок эксплуатации магистральных стальных, черных и радиаторов системы отопления истёк</w:t>
            </w:r>
            <w:proofErr w:type="gramEnd"/>
          </w:p>
        </w:tc>
      </w:tr>
      <w:tr w:rsidR="00487CC5" w:rsidRPr="00487CC5" w:rsidTr="00244A60">
        <w:trPr>
          <w:trHeight w:val="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Автоматизированные тепловые пункты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1332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                     Процент износа  5%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выявлены.</w:t>
            </w:r>
          </w:p>
        </w:tc>
      </w:tr>
      <w:tr w:rsidR="00487CC5" w:rsidRPr="00487CC5" w:rsidTr="00244A60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Элеваторные узлы системы отопления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                     Процент износа  5%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487CC5" w:rsidRPr="00487CC5" w:rsidTr="00244A60">
        <w:trPr>
          <w:trHeight w:val="16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горячего водоснабжения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неудовлетворительное Процент износа 80%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Неисправность запорной арматуры; следы ремонта трубопроводов и магистралей (хомуты, заплаты, замена отдельных участков); значительная коррозия трубопроводов. Предельный срок эксплуатации магистральных стальных, черных и оцинкованных труб системы водоснабжения истёк. </w:t>
            </w:r>
          </w:p>
        </w:tc>
      </w:tr>
      <w:tr w:rsidR="00487CC5" w:rsidRPr="00487CC5" w:rsidTr="00244A60">
        <w:trPr>
          <w:trHeight w:val="105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                     Процент износа  5%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выявлены.</w:t>
            </w:r>
          </w:p>
        </w:tc>
      </w:tr>
      <w:tr w:rsidR="00487CC5" w:rsidRPr="00487CC5" w:rsidTr="00244A60">
        <w:trPr>
          <w:trHeight w:val="30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холодного водоснабжения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Процент износа 80% 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Капельные течи в местах врезки запорной арматуры; значительная коррозия трубопроводов,  повреждения трубопроводов (свищи, течи); Следы ремонта в виде хомутов, частичных замен, заварок. Расстройство арматуры 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487CC5" w:rsidRPr="00487CC5" w:rsidTr="00244A60">
        <w:trPr>
          <w:trHeight w:val="1113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удовлетворительное                       Процент износа  5%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При визуальном осмотре дефекты не выявлены.</w:t>
            </w:r>
          </w:p>
        </w:tc>
      </w:tr>
      <w:tr w:rsidR="00487CC5" w:rsidRPr="00487CC5" w:rsidTr="00244A60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газоснабжения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90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731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канализации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неудовлетворительное Процент износа  - 80%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Повреждения отдельных мест чугунных трубопроводов канализации; </w:t>
            </w:r>
          </w:p>
        </w:tc>
      </w:tr>
      <w:tr w:rsidR="00487CC5" w:rsidRPr="00487CC5" w:rsidTr="00244A60">
        <w:trPr>
          <w:trHeight w:val="8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28</w:t>
            </w:r>
          </w:p>
        </w:tc>
        <w:tc>
          <w:tcPr>
            <w:tcW w:w="32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электроснабжения и освещения</w:t>
            </w:r>
          </w:p>
        </w:tc>
        <w:tc>
          <w:tcPr>
            <w:tcW w:w="55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Состояние неудовлетворительное Процент износа - 80%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Электропроводка выполнена двухжильной, что не соответствует современным требованиям, согласно которым электропроводка должна быть трёхжильная. Повреждение </w:t>
            </w:r>
            <w:r w:rsidRPr="00487CC5">
              <w:rPr>
                <w:rFonts w:eastAsia="Times New Roman"/>
                <w:sz w:val="32"/>
                <w:szCs w:val="32"/>
                <w:lang w:eastAsia="ru-RU"/>
              </w:rPr>
              <w:lastRenderedPageBreak/>
              <w:t xml:space="preserve">изоляции магистральных  сетей в отдельных местах, потеря эластичности изоляции проводов, открытые проводки покрыты значительным слоем краски, отсутствие части приборов   и крышек к ним, следы ремонта вводно-распределительных устройств (ВРУ). Полная потеря эластичности изоляции проводов, следы ремонта системы с частичной заменой сетей  и приборов отдельными местами, </w:t>
            </w:r>
          </w:p>
        </w:tc>
      </w:tr>
      <w:tr w:rsidR="00AE68E4" w:rsidRPr="00487CC5" w:rsidTr="001E14F7">
        <w:trPr>
          <w:trHeight w:val="1114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8E4" w:rsidRPr="00487CC5" w:rsidRDefault="00AE68E4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8E4" w:rsidRPr="00487CC5" w:rsidRDefault="00AE68E4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8E4" w:rsidRPr="00487CC5" w:rsidRDefault="00AE68E4" w:rsidP="00AE68E4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AE68E4">
              <w:rPr>
                <w:rFonts w:eastAsia="Times New Roman"/>
                <w:sz w:val="32"/>
                <w:szCs w:val="32"/>
                <w:lang w:eastAsia="ru-RU"/>
              </w:rPr>
              <w:t>В соответствии с положениями  Федерального Закона от 26.03.2003 г. № 35-ФЗ «Об электроэнергетике» с 01.07.2020 года, общедомовые приборы учёта электроэнергии выведены из состава общего имущества собственников помещений МКД</w:t>
            </w:r>
          </w:p>
        </w:tc>
      </w:tr>
      <w:tr w:rsidR="00487CC5" w:rsidRPr="00487CC5" w:rsidTr="00244A60">
        <w:trPr>
          <w:trHeight w:val="84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вентиляции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Состояние неудовлетворительное  Процент износа 80%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В  ВСН 53-86(р), отсутствуют данные о признаках дефектов, определяемых визуальным способом </w:t>
            </w:r>
          </w:p>
        </w:tc>
      </w:tr>
      <w:tr w:rsidR="00487CC5" w:rsidRPr="00487CC5" w:rsidTr="00244A60">
        <w:trPr>
          <w:trHeight w:val="49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Мусоропровод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88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Система АППЗ и дымоудаления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Отсутствует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132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Внутренний пожарный водопровод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135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Переговорно-замочное устройство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Переговорно-замочные устройств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а ООО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"УК СТАНДАРТ" не обслуживаются</w:t>
            </w:r>
          </w:p>
        </w:tc>
        <w:tc>
          <w:tcPr>
            <w:tcW w:w="5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99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Лифтовое оборудование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Отсутствует </w:t>
            </w:r>
          </w:p>
        </w:tc>
        <w:tc>
          <w:tcPr>
            <w:tcW w:w="55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> </w:t>
            </w:r>
          </w:p>
        </w:tc>
      </w:tr>
      <w:tr w:rsidR="00487CC5" w:rsidRPr="00487CC5" w:rsidTr="00244A60">
        <w:trPr>
          <w:trHeight w:val="600"/>
        </w:trPr>
        <w:tc>
          <w:tcPr>
            <w:tcW w:w="1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EFD" w:rsidRDefault="00EA4EFD" w:rsidP="00487CC5">
            <w:pPr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</w:p>
          <w:p w:rsidR="00EA4EFD" w:rsidRDefault="00EA4EFD" w:rsidP="00487CC5">
            <w:pPr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</w:p>
          <w:p w:rsidR="00487CC5" w:rsidRPr="00487CC5" w:rsidRDefault="00487CC5" w:rsidP="00487CC5">
            <w:pPr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</w:pPr>
            <w:r w:rsidRPr="00EA4EF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Решение комиссии:</w:t>
            </w:r>
            <w:r w:rsidRPr="00487CC5">
              <w:t xml:space="preserve"> </w:t>
            </w:r>
            <w:r w:rsidRPr="00487CC5">
              <w:rPr>
                <w:rFonts w:eastAsia="Times New Roman"/>
                <w:bCs/>
                <w:color w:val="000000"/>
                <w:sz w:val="32"/>
                <w:szCs w:val="32"/>
                <w:lang w:eastAsia="ru-RU"/>
              </w:rPr>
              <w:t>На основании результатов общего (осеннего) осмотра комиссия считает, что здание многоквартирного дома по адресу:   г. Владивосток, пер. Шевченко, 11, находится в ограниченно-работоспособном состоянии. Необходимо проведение следующих работ:</w:t>
            </w:r>
          </w:p>
          <w:p w:rsidR="00487CC5" w:rsidRPr="00487CC5" w:rsidRDefault="00487CC5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87CC5" w:rsidRPr="00487CC5" w:rsidTr="00244A60">
        <w:trPr>
          <w:trHeight w:val="88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Вид  ремонта </w:t>
            </w:r>
          </w:p>
        </w:tc>
        <w:tc>
          <w:tcPr>
            <w:tcW w:w="1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487CC5" w:rsidRPr="00487CC5" w:rsidTr="00244A60">
        <w:trPr>
          <w:trHeight w:val="4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CC5" w:rsidRPr="00487CC5" w:rsidRDefault="00487CC5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Текущий ремонт</w:t>
            </w:r>
          </w:p>
        </w:tc>
        <w:tc>
          <w:tcPr>
            <w:tcW w:w="1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Оконные заполнения.  Кровля                                   </w:t>
            </w:r>
          </w:p>
        </w:tc>
      </w:tr>
      <w:tr w:rsidR="00487CC5" w:rsidRPr="00487CC5" w:rsidTr="00244A60">
        <w:trPr>
          <w:trHeight w:val="126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Капитальный ремонт</w:t>
            </w:r>
          </w:p>
        </w:tc>
        <w:tc>
          <w:tcPr>
            <w:tcW w:w="1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Общие коридоры и тамбуры  </w:t>
            </w:r>
            <w:proofErr w:type="gramStart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>Стены</w:t>
            </w:r>
            <w:proofErr w:type="gramEnd"/>
            <w:r w:rsidRPr="00487CC5">
              <w:rPr>
                <w:rFonts w:eastAsia="Times New Roman"/>
                <w:sz w:val="32"/>
                <w:szCs w:val="32"/>
                <w:lang w:eastAsia="ru-RU"/>
              </w:rPr>
              <w:t xml:space="preserve"> наружные Фасад  Несущие и ограждающие конструкции Перекрытия Система отопления Система горячего водоснабжения Система холодного водоснабжения  Система канализации  Система электроснабжения и освещения</w:t>
            </w:r>
          </w:p>
        </w:tc>
      </w:tr>
      <w:tr w:rsidR="00487CC5" w:rsidRPr="00487CC5" w:rsidTr="00244A60">
        <w:trPr>
          <w:trHeight w:val="10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CC5" w:rsidRPr="00487CC5" w:rsidRDefault="00487CC5" w:rsidP="00487CC5">
            <w:pPr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CC5" w:rsidRPr="00487CC5" w:rsidRDefault="00487CC5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После выполнения работ по капитальным ремонтам  необходимо проведение мероприятий по энергосбережению и энергоэффективности.</w:t>
            </w:r>
          </w:p>
        </w:tc>
      </w:tr>
      <w:tr w:rsidR="00EA4EFD" w:rsidRPr="00487CC5" w:rsidTr="00244A60">
        <w:trPr>
          <w:trHeight w:val="3093"/>
        </w:trPr>
        <w:tc>
          <w:tcPr>
            <w:tcW w:w="1489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A4EFD" w:rsidRPr="00487CC5" w:rsidRDefault="00EA4EFD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lastRenderedPageBreak/>
              <w:t>Председатель комиссии:</w:t>
            </w:r>
          </w:p>
          <w:p w:rsidR="00EA4EFD" w:rsidRPr="00487CC5" w:rsidRDefault="00EA4EFD" w:rsidP="00EA4EFD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Цылёв А.А.</w:t>
            </w:r>
          </w:p>
          <w:p w:rsidR="00EA4EFD" w:rsidRPr="00487CC5" w:rsidRDefault="00EA4EFD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Члены комиссии:</w:t>
            </w:r>
          </w:p>
          <w:p w:rsidR="00EA4EFD" w:rsidRPr="00487CC5" w:rsidRDefault="00EA4EFD" w:rsidP="00487CC5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Заместитель генерального директор</w:t>
            </w:r>
            <w:proofErr w:type="gramStart"/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а  ООО У</w:t>
            </w:r>
            <w:proofErr w:type="gramEnd"/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 СТАНДАРТ"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</w:t>
            </w: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Климовский А.Д.</w:t>
            </w:r>
          </w:p>
          <w:p w:rsidR="00EA4EFD" w:rsidRPr="00487CC5" w:rsidRDefault="00EA4EFD" w:rsidP="00EA4EFD">
            <w:pPr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представитель  собственников помещений: председатель Совета МКД</w:t>
            </w:r>
            <w:r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  </w:t>
            </w:r>
            <w:proofErr w:type="spellStart"/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>Караева</w:t>
            </w:r>
            <w:proofErr w:type="spellEnd"/>
            <w:r w:rsidRPr="00487CC5">
              <w:rPr>
                <w:rFonts w:eastAsia="Times New Roman"/>
                <w:color w:val="000000"/>
                <w:sz w:val="32"/>
                <w:szCs w:val="32"/>
                <w:lang w:eastAsia="ru-RU"/>
              </w:rPr>
              <w:t xml:space="preserve"> Г.В.</w:t>
            </w:r>
          </w:p>
        </w:tc>
      </w:tr>
    </w:tbl>
    <w:p w:rsidR="00487CC5" w:rsidRDefault="00487CC5"/>
    <w:sectPr w:rsidR="00487CC5" w:rsidSect="00244A60">
      <w:pgSz w:w="16838" w:h="11906" w:orient="landscape"/>
      <w:pgMar w:top="850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F3"/>
    <w:rsid w:val="00073B03"/>
    <w:rsid w:val="000C2D7B"/>
    <w:rsid w:val="001851B4"/>
    <w:rsid w:val="00213933"/>
    <w:rsid w:val="00244A60"/>
    <w:rsid w:val="00487CC5"/>
    <w:rsid w:val="00581D71"/>
    <w:rsid w:val="00736DC5"/>
    <w:rsid w:val="007E7041"/>
    <w:rsid w:val="008E48F3"/>
    <w:rsid w:val="00950480"/>
    <w:rsid w:val="00987B70"/>
    <w:rsid w:val="00AE68E4"/>
    <w:rsid w:val="00B41D4C"/>
    <w:rsid w:val="00C513DE"/>
    <w:rsid w:val="00DC4B19"/>
    <w:rsid w:val="00EA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15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2021-09-23T01:59:00Z</dcterms:created>
  <dcterms:modified xsi:type="dcterms:W3CDTF">2022-04-12T04:21:00Z</dcterms:modified>
</cp:coreProperties>
</file>