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D2" w:rsidRDefault="009406D2"/>
    <w:tbl>
      <w:tblPr>
        <w:tblW w:w="149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21"/>
        <w:gridCol w:w="665"/>
        <w:gridCol w:w="2004"/>
        <w:gridCol w:w="1152"/>
        <w:gridCol w:w="1027"/>
        <w:gridCol w:w="1096"/>
        <w:gridCol w:w="1150"/>
        <w:gridCol w:w="1044"/>
        <w:gridCol w:w="1326"/>
        <w:gridCol w:w="966"/>
        <w:gridCol w:w="398"/>
        <w:gridCol w:w="637"/>
        <w:gridCol w:w="346"/>
        <w:gridCol w:w="2047"/>
      </w:tblGrid>
      <w:tr w:rsidR="00A5406A" w:rsidRPr="00A5406A" w:rsidTr="00986712">
        <w:trPr>
          <w:trHeight w:val="1407"/>
        </w:trPr>
        <w:tc>
          <w:tcPr>
            <w:tcW w:w="14979" w:type="dxa"/>
            <w:gridSpan w:val="14"/>
            <w:tcBorders>
              <w:top w:val="nil"/>
              <w:left w:val="nil"/>
            </w:tcBorders>
            <w:shd w:val="clear" w:color="auto" w:fill="auto"/>
            <w:hideMark/>
          </w:tcPr>
          <w:p w:rsidR="00A5406A" w:rsidRPr="00A5406A" w:rsidRDefault="00A5406A" w:rsidP="0098671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6"/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ОБЩЕГО (ОСЕННЕГО) ОСМОТРА ОБЩЕГО ИМУЩЕСТВАМНОГОКВАРТИРНОГО ДОМА, РАСПОЛОЖЕННОГО ПО АДРЕСУ: ул. </w:t>
            </w:r>
            <w:proofErr w:type="gramStart"/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Западная</w:t>
            </w:r>
            <w:proofErr w:type="gramEnd"/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, 27</w:t>
            </w:r>
          </w:p>
          <w:bookmarkEnd w:id="0"/>
          <w:p w:rsidR="00A5406A" w:rsidRPr="00A5406A" w:rsidRDefault="00A5406A" w:rsidP="0098671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г. Владивосток                                                                                                                                25 августа 2021</w:t>
            </w:r>
          </w:p>
          <w:p w:rsidR="00A5406A" w:rsidRPr="00A5406A" w:rsidRDefault="00A5406A" w:rsidP="00986712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8582B" w:rsidRPr="00A5406A" w:rsidTr="00A5406A">
        <w:trPr>
          <w:trHeight w:val="4237"/>
        </w:trPr>
        <w:tc>
          <w:tcPr>
            <w:tcW w:w="37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1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A5406A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A5406A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A5406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F70E5A" w:rsidRPr="00A5406A" w:rsidTr="00F70E5A">
        <w:trPr>
          <w:trHeight w:val="335"/>
        </w:trPr>
        <w:tc>
          <w:tcPr>
            <w:tcW w:w="3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189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F70E5A" w:rsidRPr="00A5406A" w:rsidTr="00F70E5A">
        <w:trPr>
          <w:trHeight w:val="780"/>
        </w:trPr>
        <w:tc>
          <w:tcPr>
            <w:tcW w:w="49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0E5A" w:rsidRPr="00A5406A" w:rsidRDefault="00F70E5A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0E5A" w:rsidRPr="00A5406A" w:rsidRDefault="00F70E5A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1960</w:t>
            </w:r>
          </w:p>
        </w:tc>
        <w:tc>
          <w:tcPr>
            <w:tcW w:w="4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0E5A" w:rsidRPr="00A5406A" w:rsidRDefault="00F70E5A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30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0E5A" w:rsidRPr="00A5406A" w:rsidRDefault="00F70E5A" w:rsidP="00F70E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информация отсутствует</w:t>
            </w:r>
          </w:p>
        </w:tc>
      </w:tr>
      <w:tr w:rsidR="0028582B" w:rsidRPr="00A5406A" w:rsidTr="00F70E5A">
        <w:trPr>
          <w:trHeight w:val="405"/>
        </w:trPr>
        <w:tc>
          <w:tcPr>
            <w:tcW w:w="14979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F70E5A" w:rsidRPr="00A5406A" w:rsidTr="00F70E5A">
        <w:trPr>
          <w:trHeight w:val="405"/>
        </w:trPr>
        <w:tc>
          <w:tcPr>
            <w:tcW w:w="706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9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F70E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F70E5A" w:rsidRPr="00A5406A" w:rsidTr="00F70E5A">
        <w:trPr>
          <w:trHeight w:val="810"/>
        </w:trPr>
        <w:tc>
          <w:tcPr>
            <w:tcW w:w="706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F70E5A" w:rsidRPr="00A5406A" w:rsidTr="00F70E5A">
        <w:trPr>
          <w:trHeight w:val="405"/>
        </w:trPr>
        <w:tc>
          <w:tcPr>
            <w:tcW w:w="706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0E5A" w:rsidRPr="00A5406A" w:rsidTr="00F70E5A">
        <w:trPr>
          <w:trHeight w:val="405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20"/>
        </w:trPr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A5406A">
        <w:trPr>
          <w:trHeight w:val="296"/>
        </w:trPr>
        <w:tc>
          <w:tcPr>
            <w:tcW w:w="105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582B" w:rsidRPr="00A5406A" w:rsidTr="00F70E5A">
        <w:trPr>
          <w:trHeight w:val="300"/>
        </w:trPr>
        <w:tc>
          <w:tcPr>
            <w:tcW w:w="149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F70E5A" w:rsidRPr="00A5406A" w:rsidTr="00F70E5A">
        <w:trPr>
          <w:trHeight w:val="829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F70E5A" w:rsidRPr="00A5406A" w:rsidTr="00A5406A">
        <w:trPr>
          <w:trHeight w:val="1040"/>
        </w:trPr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70E5A" w:rsidRPr="00A5406A" w:rsidRDefault="00F70E5A" w:rsidP="00F70E5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Pr="00A5406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70E5A" w:rsidRPr="00A5406A" w:rsidRDefault="00F70E5A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1876.6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70E5A" w:rsidRPr="00A5406A" w:rsidRDefault="00F70E5A" w:rsidP="00F70E5A">
            <w:pPr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общая площадь жилых помещений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,м</w:t>
            </w:r>
            <w:proofErr w:type="gramEnd"/>
            <w:r w:rsidRPr="00A5406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r w:rsidRPr="00A5406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0E5A" w:rsidRPr="00A5406A" w:rsidRDefault="009406D2" w:rsidP="0028582B">
            <w:pPr>
              <w:rPr>
                <w:rFonts w:eastAsia="Times New Roman"/>
                <w:color w:val="000000"/>
                <w:lang w:eastAsia="ru-RU"/>
              </w:rPr>
            </w:pPr>
            <w:bookmarkStart w:id="1" w:name="_GoBack"/>
            <w:r>
              <w:rPr>
                <w:rFonts w:eastAsia="Times New Roman"/>
                <w:color w:val="000000"/>
                <w:lang w:eastAsia="ru-RU"/>
              </w:rPr>
              <w:t>1 172.7</w:t>
            </w:r>
            <w:bookmarkEnd w:id="1"/>
          </w:p>
        </w:tc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70E5A" w:rsidRPr="00A5406A" w:rsidRDefault="00F70E5A" w:rsidP="00F70E5A">
            <w:pPr>
              <w:rPr>
                <w:rFonts w:eastAsia="Times New Roman"/>
                <w:color w:val="000000"/>
                <w:vertAlign w:val="superscript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общая площадь нежилых помещений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,м</w:t>
            </w:r>
            <w:proofErr w:type="gramEnd"/>
            <w:r w:rsidRPr="00A5406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70E5A" w:rsidRPr="00A5406A" w:rsidRDefault="009406D2" w:rsidP="0028582B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375.2</w:t>
            </w:r>
          </w:p>
        </w:tc>
        <w:tc>
          <w:tcPr>
            <w:tcW w:w="2347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70E5A" w:rsidRPr="00A5406A" w:rsidRDefault="00F70E5A" w:rsidP="00F70E5A">
            <w:pPr>
              <w:ind w:right="-91"/>
              <w:rPr>
                <w:rFonts w:eastAsia="Times New Roman"/>
                <w:color w:val="000000"/>
                <w:vertAlign w:val="superscript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м</w:t>
            </w:r>
            <w:proofErr w:type="gramStart"/>
            <w:r w:rsidRPr="00A5406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70E5A" w:rsidRPr="00A5406A" w:rsidRDefault="00F70E5A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328.7</w:t>
            </w:r>
          </w:p>
        </w:tc>
      </w:tr>
      <w:tr w:rsidR="0028582B" w:rsidRPr="00A5406A" w:rsidTr="00F70E5A">
        <w:trPr>
          <w:trHeight w:val="405"/>
        </w:trPr>
        <w:tc>
          <w:tcPr>
            <w:tcW w:w="1497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F70E5A" w:rsidRPr="00A5406A" w:rsidTr="00A5406A">
        <w:trPr>
          <w:trHeight w:val="703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F70E5A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F70E5A" w:rsidRPr="00A5406A" w:rsidTr="00F70E5A">
        <w:trPr>
          <w:trHeight w:val="420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8582B" w:rsidRPr="00A5406A" w:rsidTr="00A5406A">
        <w:trPr>
          <w:trHeight w:val="395"/>
        </w:trPr>
        <w:tc>
          <w:tcPr>
            <w:tcW w:w="1497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F70E5A" w:rsidRPr="00A5406A" w:rsidTr="009F3D79">
        <w:trPr>
          <w:trHeight w:val="468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F70E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="00F70E5A" w:rsidRPr="00A5406A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F70E5A" w:rsidRPr="00A5406A" w:rsidTr="00A5406A">
        <w:trPr>
          <w:trHeight w:val="1083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lastRenderedPageBreak/>
              <w:t>кровля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427.32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Крыша чердачного типа по деревянным стропилам. Кровля - из железных листов. Утеплитель – керамзит. Водосток наружный, организованный.</w:t>
            </w:r>
          </w:p>
        </w:tc>
      </w:tr>
      <w:tr w:rsidR="00F70E5A" w:rsidRPr="00A5406A" w:rsidTr="00A5406A">
        <w:trPr>
          <w:trHeight w:val="418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1329.65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Кирпичная кладка на цементно-песчаном растворе</w:t>
            </w:r>
          </w:p>
        </w:tc>
      </w:tr>
      <w:tr w:rsidR="00F70E5A" w:rsidRPr="00A5406A" w:rsidTr="00A5406A">
        <w:trPr>
          <w:trHeight w:val="439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349.44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Кирпичная кладка на цементно-</w:t>
            </w:r>
            <w:r w:rsidR="009F3D79" w:rsidRPr="00A5406A">
              <w:rPr>
                <w:rFonts w:eastAsia="Times New Roman"/>
                <w:color w:val="000000"/>
                <w:lang w:eastAsia="ru-RU"/>
              </w:rPr>
              <w:t>п</w:t>
            </w:r>
            <w:r w:rsidRPr="00A5406A">
              <w:rPr>
                <w:rFonts w:eastAsia="Times New Roman"/>
                <w:color w:val="000000"/>
                <w:lang w:eastAsia="ru-RU"/>
              </w:rPr>
              <w:t>есчаном растворе.</w:t>
            </w:r>
          </w:p>
        </w:tc>
      </w:tr>
      <w:tr w:rsidR="00F70E5A" w:rsidRPr="00A5406A" w:rsidTr="009F3D79">
        <w:trPr>
          <w:trHeight w:val="1144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16.00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 xml:space="preserve">Входные двери - металлические, оборудованы домофоном. Тамбурные двери – деревянные. Двери выходов на кровлю, входа в подвал, деревянные, облицованы металлом.  </w:t>
            </w:r>
          </w:p>
        </w:tc>
      </w:tr>
      <w:tr w:rsidR="00F70E5A" w:rsidRPr="00A5406A" w:rsidTr="00A5406A">
        <w:trPr>
          <w:trHeight w:val="279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8.0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Деревянные</w:t>
            </w:r>
          </w:p>
        </w:tc>
      </w:tr>
      <w:tr w:rsidR="00F70E5A" w:rsidRPr="00A5406A" w:rsidTr="00A5406A">
        <w:trPr>
          <w:trHeight w:val="416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2 563.92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сборные многопустотные железобетонные плиты</w:t>
            </w:r>
          </w:p>
        </w:tc>
      </w:tr>
      <w:tr w:rsidR="00F70E5A" w:rsidRPr="00A5406A" w:rsidTr="00A5406A">
        <w:trPr>
          <w:trHeight w:val="1024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118.0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 xml:space="preserve">Выполнены из железобетонных сборных конструкций с </w:t>
            </w:r>
            <w:proofErr w:type="spellStart"/>
            <w:r w:rsidRPr="00A5406A">
              <w:rPr>
                <w:rFonts w:eastAsia="Times New Roman"/>
                <w:color w:val="000000"/>
                <w:lang w:eastAsia="ru-RU"/>
              </w:rPr>
              <w:t>опиранием</w:t>
            </w:r>
            <w:proofErr w:type="spellEnd"/>
            <w:r w:rsidRPr="00A5406A">
              <w:rPr>
                <w:rFonts w:eastAsia="Times New Roman"/>
                <w:color w:val="000000"/>
                <w:lang w:eastAsia="ru-RU"/>
              </w:rPr>
              <w:t xml:space="preserve"> на межэтажные перекрытия.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F70E5A" w:rsidRPr="00A5406A" w:rsidTr="009F3D79">
        <w:trPr>
          <w:trHeight w:val="354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Цементно-песчаная смесь</w:t>
            </w:r>
          </w:p>
        </w:tc>
      </w:tr>
      <w:tr w:rsidR="00F70E5A" w:rsidRPr="00A5406A" w:rsidTr="009F3D79">
        <w:trPr>
          <w:trHeight w:val="402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79.36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из железобетонных блоков.</w:t>
            </w:r>
          </w:p>
        </w:tc>
      </w:tr>
      <w:tr w:rsidR="00F70E5A" w:rsidRPr="00A5406A" w:rsidTr="00A5406A">
        <w:trPr>
          <w:trHeight w:val="342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349.2</w:t>
            </w:r>
          </w:p>
        </w:tc>
        <w:tc>
          <w:tcPr>
            <w:tcW w:w="901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A5406A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 xml:space="preserve">Стены – фундаментные блоки. </w:t>
            </w:r>
          </w:p>
        </w:tc>
      </w:tr>
      <w:tr w:rsidR="0028582B" w:rsidRPr="00A5406A" w:rsidTr="00A5406A">
        <w:trPr>
          <w:trHeight w:val="422"/>
        </w:trPr>
        <w:tc>
          <w:tcPr>
            <w:tcW w:w="1497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28582B" w:rsidRPr="00A5406A" w:rsidTr="009F3D79">
        <w:trPr>
          <w:trHeight w:val="396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9F3D7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28582B" w:rsidRPr="00A5406A" w:rsidTr="00986712">
        <w:trPr>
          <w:trHeight w:val="2814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986712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 xml:space="preserve">Централизованное, от городских сетей МУПВ «ВПЭС». Электропитание осуществляется подземным способом по кабельной линии 380/220В. Ввод силового кабеля в здание выполнен </w:t>
            </w:r>
            <w:r w:rsidR="009F3D79" w:rsidRPr="00A5406A">
              <w:rPr>
                <w:rFonts w:eastAsia="Times New Roman"/>
                <w:color w:val="000000"/>
                <w:lang w:eastAsia="ru-RU"/>
              </w:rPr>
              <w:t>подземным кабелем</w:t>
            </w:r>
            <w:r w:rsidRPr="00A5406A">
              <w:rPr>
                <w:rFonts w:eastAsia="Times New Roman"/>
                <w:color w:val="000000"/>
                <w:lang w:eastAsia="ru-RU"/>
              </w:rPr>
              <w:t xml:space="preserve">. Распределительный шкаф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расположен в </w:t>
            </w:r>
            <w:r w:rsidR="009F3D79" w:rsidRPr="00A5406A">
              <w:rPr>
                <w:rFonts w:eastAsia="Times New Roman"/>
                <w:color w:val="000000"/>
                <w:lang w:eastAsia="ru-RU"/>
              </w:rPr>
              <w:t>тамбуре 2-го подъезда.</w:t>
            </w:r>
            <w:r w:rsidRPr="00A5406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Разводка системы электроснабжения от ВРУ до стояков проложена по стенам здания и частично заштукатурена Индивидуальные счетчики электроэнергии установлены на каждом этаже здания.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Групповая сеть выполнена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>, под слоем штукатурного слоя.</w:t>
            </w:r>
            <w:r w:rsidR="006E4B8D" w:rsidRPr="00A5406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5406A">
              <w:rPr>
                <w:rFonts w:eastAsia="Times New Roman"/>
                <w:color w:val="000000"/>
                <w:lang w:eastAsia="ru-RU"/>
              </w:rPr>
              <w:t xml:space="preserve">Напряжение в сети рабочего освещения 220В. Сети электроснабжения выполнены </w:t>
            </w:r>
            <w:r w:rsidR="006E4B8D" w:rsidRPr="00A5406A">
              <w:rPr>
                <w:rFonts w:eastAsia="Times New Roman"/>
                <w:color w:val="000000"/>
                <w:lang w:eastAsia="ru-RU"/>
              </w:rPr>
              <w:t>медными</w:t>
            </w:r>
            <w:r w:rsidRPr="00A5406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6E4B8D" w:rsidRPr="00A5406A">
              <w:rPr>
                <w:rFonts w:eastAsia="Times New Roman"/>
                <w:color w:val="000000"/>
                <w:lang w:eastAsia="ru-RU"/>
              </w:rPr>
              <w:t>трё</w:t>
            </w:r>
            <w:r w:rsidRPr="00A5406A">
              <w:rPr>
                <w:rFonts w:eastAsia="Times New Roman"/>
                <w:color w:val="000000"/>
                <w:lang w:eastAsia="ru-RU"/>
              </w:rPr>
              <w:t>хжильными проводами. Установлен измерительный комплек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с(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собственность МУПВ "ВПЭС") </w:t>
            </w:r>
          </w:p>
        </w:tc>
      </w:tr>
      <w:tr w:rsidR="0028582B" w:rsidRPr="00A5406A" w:rsidTr="00F70E5A">
        <w:trPr>
          <w:trHeight w:val="88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 xml:space="preserve">Открытая система.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 прибор учёта ЭСКО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-Т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3 № 8623</w:t>
            </w:r>
          </w:p>
        </w:tc>
      </w:tr>
      <w:tr w:rsidR="0028582B" w:rsidRPr="00A5406A" w:rsidTr="00986712">
        <w:trPr>
          <w:trHeight w:val="658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, от сетей КГУП «Приморский водоканал». 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</w:t>
            </w:r>
          </w:p>
        </w:tc>
      </w:tr>
      <w:tr w:rsidR="0028582B" w:rsidRPr="00A5406A" w:rsidTr="00986712">
        <w:trPr>
          <w:trHeight w:val="613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28582B" w:rsidRPr="00A5406A" w:rsidTr="00986712">
        <w:trPr>
          <w:trHeight w:val="1009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стальными           водогазопроводными трубами. Верхняя разводка. В местах общего пользования до 5 этажа установлены отопительные приборы. Установлен прибор учёта ЭСКО </w:t>
            </w:r>
            <w:proofErr w:type="gramStart"/>
            <w:r w:rsidRPr="00A5406A">
              <w:rPr>
                <w:rFonts w:eastAsia="Times New Roman"/>
                <w:color w:val="000000"/>
                <w:lang w:eastAsia="ru-RU"/>
              </w:rPr>
              <w:t>-Т</w:t>
            </w:r>
            <w:proofErr w:type="gramEnd"/>
            <w:r w:rsidRPr="00A5406A">
              <w:rPr>
                <w:rFonts w:eastAsia="Times New Roman"/>
                <w:color w:val="000000"/>
                <w:lang w:eastAsia="ru-RU"/>
              </w:rPr>
              <w:t xml:space="preserve"> 3 № 8623</w:t>
            </w:r>
          </w:p>
        </w:tc>
      </w:tr>
      <w:tr w:rsidR="0028582B" w:rsidRPr="00A5406A" w:rsidTr="00986712">
        <w:trPr>
          <w:trHeight w:val="308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Отсутствуют.</w:t>
            </w:r>
          </w:p>
        </w:tc>
      </w:tr>
      <w:tr w:rsidR="0028582B" w:rsidRPr="00A5406A" w:rsidTr="00F70E5A">
        <w:trPr>
          <w:trHeight w:val="405"/>
        </w:trPr>
        <w:tc>
          <w:tcPr>
            <w:tcW w:w="1497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5406A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28582B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28582B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28582B" w:rsidRPr="00A5406A" w:rsidTr="00F70E5A">
        <w:trPr>
          <w:trHeight w:val="405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28582B" w:rsidRPr="00A5406A" w:rsidTr="00F70E5A">
        <w:trPr>
          <w:trHeight w:val="420"/>
        </w:trPr>
        <w:tc>
          <w:tcPr>
            <w:tcW w:w="37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18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8582B" w:rsidRPr="00A5406A" w:rsidRDefault="0028582B" w:rsidP="0028582B">
            <w:pPr>
              <w:rPr>
                <w:rFonts w:eastAsia="Times New Roman"/>
                <w:color w:val="000000"/>
                <w:lang w:eastAsia="ru-RU"/>
              </w:rPr>
            </w:pPr>
            <w:r w:rsidRPr="00A5406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2835"/>
        <w:gridCol w:w="3410"/>
        <w:gridCol w:w="3941"/>
        <w:gridCol w:w="3792"/>
      </w:tblGrid>
      <w:tr w:rsidR="00986712" w:rsidRPr="00986712" w:rsidTr="00A35CE8">
        <w:trPr>
          <w:trHeight w:val="503"/>
        </w:trPr>
        <w:tc>
          <w:tcPr>
            <w:tcW w:w="14786" w:type="dxa"/>
            <w:gridSpan w:val="5"/>
            <w:hideMark/>
          </w:tcPr>
          <w:p w:rsidR="00986712" w:rsidRPr="00986712" w:rsidRDefault="00986712">
            <w:pPr>
              <w:rPr>
                <w:b/>
                <w:bCs/>
              </w:rPr>
            </w:pPr>
            <w:bookmarkStart w:id="2" w:name="RANGE!A1:G53"/>
            <w:r w:rsidRPr="00986712">
              <w:rPr>
                <w:b/>
                <w:bCs/>
              </w:rPr>
              <w:t>Комиссия в составе:</w:t>
            </w:r>
            <w:bookmarkEnd w:id="2"/>
          </w:p>
        </w:tc>
      </w:tr>
      <w:tr w:rsidR="00986712" w:rsidRPr="00986712" w:rsidTr="00A35CE8">
        <w:trPr>
          <w:trHeight w:val="597"/>
        </w:trPr>
        <w:tc>
          <w:tcPr>
            <w:tcW w:w="7039" w:type="dxa"/>
            <w:gridSpan w:val="3"/>
            <w:hideMark/>
          </w:tcPr>
          <w:p w:rsidR="00986712" w:rsidRPr="00986712" w:rsidRDefault="00986712">
            <w:r w:rsidRPr="00986712">
              <w:t>Председатель комиссии:</w:t>
            </w:r>
          </w:p>
        </w:tc>
        <w:tc>
          <w:tcPr>
            <w:tcW w:w="3948" w:type="dxa"/>
            <w:hideMark/>
          </w:tcPr>
          <w:p w:rsidR="00986712" w:rsidRPr="00986712" w:rsidRDefault="00986712" w:rsidP="00986712">
            <w:r w:rsidRPr="00986712">
              <w:t>Главный инженер ООО "УК СТАНДАРТ"</w:t>
            </w:r>
          </w:p>
        </w:tc>
        <w:tc>
          <w:tcPr>
            <w:tcW w:w="3799" w:type="dxa"/>
            <w:noWrap/>
            <w:hideMark/>
          </w:tcPr>
          <w:p w:rsidR="00986712" w:rsidRPr="00986712" w:rsidRDefault="00986712">
            <w:r w:rsidRPr="00986712">
              <w:t>Цылёв А.А.</w:t>
            </w:r>
          </w:p>
        </w:tc>
      </w:tr>
      <w:tr w:rsidR="00986712" w:rsidRPr="00986712" w:rsidTr="00A35CE8">
        <w:trPr>
          <w:trHeight w:val="945"/>
        </w:trPr>
        <w:tc>
          <w:tcPr>
            <w:tcW w:w="7039" w:type="dxa"/>
            <w:gridSpan w:val="3"/>
            <w:noWrap/>
            <w:hideMark/>
          </w:tcPr>
          <w:p w:rsidR="00986712" w:rsidRPr="00986712" w:rsidRDefault="00986712">
            <w:r w:rsidRPr="00986712">
              <w:t>Члены комиссии:</w:t>
            </w:r>
          </w:p>
        </w:tc>
        <w:tc>
          <w:tcPr>
            <w:tcW w:w="3948" w:type="dxa"/>
            <w:hideMark/>
          </w:tcPr>
          <w:p w:rsidR="00986712" w:rsidRPr="00986712" w:rsidRDefault="00986712" w:rsidP="00986712">
            <w:r w:rsidRPr="00986712">
              <w:t>Заместитель генерального директор</w:t>
            </w:r>
            <w:proofErr w:type="gramStart"/>
            <w:r w:rsidRPr="00986712">
              <w:t>а ООО</w:t>
            </w:r>
            <w:proofErr w:type="gramEnd"/>
            <w:r w:rsidRPr="00986712">
              <w:t xml:space="preserve"> "УК СТАНДАРТ"</w:t>
            </w:r>
          </w:p>
        </w:tc>
        <w:tc>
          <w:tcPr>
            <w:tcW w:w="3799" w:type="dxa"/>
            <w:noWrap/>
            <w:hideMark/>
          </w:tcPr>
          <w:p w:rsidR="00986712" w:rsidRPr="00986712" w:rsidRDefault="00986712">
            <w:r w:rsidRPr="00986712">
              <w:t>Климовский А.Д.</w:t>
            </w:r>
          </w:p>
        </w:tc>
      </w:tr>
      <w:tr w:rsidR="00986712" w:rsidRPr="00986712" w:rsidTr="00A35CE8">
        <w:trPr>
          <w:trHeight w:val="465"/>
        </w:trPr>
        <w:tc>
          <w:tcPr>
            <w:tcW w:w="7039" w:type="dxa"/>
            <w:gridSpan w:val="3"/>
            <w:hideMark/>
          </w:tcPr>
          <w:p w:rsidR="00986712" w:rsidRPr="00986712" w:rsidRDefault="00986712">
            <w:r w:rsidRPr="00986712">
              <w:t>Представитель собственников помещений:</w:t>
            </w:r>
          </w:p>
        </w:tc>
        <w:tc>
          <w:tcPr>
            <w:tcW w:w="3948" w:type="dxa"/>
            <w:hideMark/>
          </w:tcPr>
          <w:p w:rsidR="00986712" w:rsidRPr="00986712" w:rsidRDefault="00986712" w:rsidP="00986712">
            <w:r w:rsidRPr="00986712">
              <w:t>Председатель Совета МКД</w:t>
            </w:r>
          </w:p>
        </w:tc>
        <w:tc>
          <w:tcPr>
            <w:tcW w:w="3799" w:type="dxa"/>
            <w:noWrap/>
            <w:hideMark/>
          </w:tcPr>
          <w:p w:rsidR="00986712" w:rsidRPr="00986712" w:rsidRDefault="00986712">
            <w:r w:rsidRPr="00986712">
              <w:t xml:space="preserve"> Шморгун Р.В.</w:t>
            </w:r>
          </w:p>
        </w:tc>
      </w:tr>
      <w:tr w:rsidR="00986712" w:rsidRPr="00986712" w:rsidTr="00A35CE8">
        <w:trPr>
          <w:trHeight w:val="870"/>
        </w:trPr>
        <w:tc>
          <w:tcPr>
            <w:tcW w:w="14786" w:type="dxa"/>
            <w:gridSpan w:val="5"/>
            <w:hideMark/>
          </w:tcPr>
          <w:p w:rsidR="00986712" w:rsidRPr="00986712" w:rsidRDefault="00986712">
            <w:r w:rsidRPr="00986712">
              <w:t xml:space="preserve"> произвела общий (осенний) осмотр элементов общего имущества многоквартирного дома.                                                          При осмотре установлено следующее:</w:t>
            </w:r>
          </w:p>
        </w:tc>
      </w:tr>
      <w:tr w:rsidR="00986712" w:rsidRPr="00986712" w:rsidTr="00A35CE8">
        <w:trPr>
          <w:trHeight w:val="420"/>
        </w:trPr>
        <w:tc>
          <w:tcPr>
            <w:tcW w:w="14786" w:type="dxa"/>
            <w:gridSpan w:val="5"/>
            <w:noWrap/>
            <w:hideMark/>
          </w:tcPr>
          <w:p w:rsidR="00986712" w:rsidRPr="00986712" w:rsidRDefault="00986712" w:rsidP="00827C3D">
            <w:pPr>
              <w:jc w:val="center"/>
              <w:rPr>
                <w:b/>
                <w:bCs/>
              </w:rPr>
            </w:pPr>
            <w:r w:rsidRPr="00986712">
              <w:rPr>
                <w:b/>
                <w:bCs/>
              </w:rPr>
              <w:lastRenderedPageBreak/>
              <w:t>РЕЗУЛЬТАТЫ ОСМОТРА      КОНСТРУКЦИЙ И ИНЖЕНЕРНОГО ОБОРУДОВАНИЯ</w:t>
            </w:r>
          </w:p>
        </w:tc>
      </w:tr>
      <w:tr w:rsidR="00986712" w:rsidRPr="00986712" w:rsidTr="00A35CE8">
        <w:trPr>
          <w:trHeight w:val="2085"/>
        </w:trPr>
        <w:tc>
          <w:tcPr>
            <w:tcW w:w="808" w:type="dxa"/>
            <w:hideMark/>
          </w:tcPr>
          <w:p w:rsidR="00986712" w:rsidRPr="00986712" w:rsidRDefault="00986712" w:rsidP="00986712">
            <w:pPr>
              <w:rPr>
                <w:b/>
                <w:bCs/>
              </w:rPr>
            </w:pPr>
            <w:r w:rsidRPr="00986712">
              <w:rPr>
                <w:b/>
                <w:bCs/>
              </w:rPr>
              <w:t xml:space="preserve">№ </w:t>
            </w:r>
            <w:proofErr w:type="gramStart"/>
            <w:r w:rsidRPr="00986712">
              <w:rPr>
                <w:b/>
                <w:bCs/>
              </w:rPr>
              <w:t>п</w:t>
            </w:r>
            <w:proofErr w:type="gramEnd"/>
            <w:r w:rsidRPr="00986712">
              <w:rPr>
                <w:b/>
                <w:bCs/>
              </w:rPr>
              <w:t>/п</w:t>
            </w:r>
          </w:p>
        </w:tc>
        <w:tc>
          <w:tcPr>
            <w:tcW w:w="2815" w:type="dxa"/>
            <w:hideMark/>
          </w:tcPr>
          <w:p w:rsidR="00986712" w:rsidRPr="00986712" w:rsidRDefault="00986712" w:rsidP="00827C3D">
            <w:pPr>
              <w:jc w:val="center"/>
              <w:rPr>
                <w:b/>
                <w:bCs/>
              </w:rPr>
            </w:pPr>
            <w:r w:rsidRPr="00986712">
              <w:rPr>
                <w:b/>
                <w:bCs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416" w:type="dxa"/>
            <w:hideMark/>
          </w:tcPr>
          <w:p w:rsidR="00986712" w:rsidRPr="00986712" w:rsidRDefault="00986712" w:rsidP="00827C3D">
            <w:pPr>
              <w:jc w:val="center"/>
              <w:rPr>
                <w:b/>
                <w:bCs/>
              </w:rPr>
            </w:pPr>
            <w:r w:rsidRPr="00986712">
              <w:rPr>
                <w:b/>
                <w:bCs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 w:rsidP="00827C3D">
            <w:pPr>
              <w:jc w:val="center"/>
              <w:rPr>
                <w:b/>
                <w:bCs/>
              </w:rPr>
            </w:pPr>
            <w:r w:rsidRPr="00986712">
              <w:rPr>
                <w:b/>
                <w:bCs/>
              </w:rPr>
              <w:t>Дефекты, выявленные при осмотре</w:t>
            </w:r>
          </w:p>
        </w:tc>
      </w:tr>
      <w:tr w:rsidR="00986712" w:rsidRPr="00986712" w:rsidTr="00A35CE8">
        <w:trPr>
          <w:trHeight w:val="1131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Фундамент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 xml:space="preserve">Состояние ограничено-работоспособное.  Процент износа - 80% 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Трещины, частичное разрушение блоков (до арматуры); выщелачивание раствора из швов между блоками; следы увлажнения цоколя и стен подвала</w:t>
            </w:r>
          </w:p>
        </w:tc>
      </w:tr>
      <w:tr w:rsidR="00986712" w:rsidRPr="00986712" w:rsidTr="00A35CE8">
        <w:trPr>
          <w:trHeight w:val="977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Цоколь (подвал)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ограничено-работоспособное.</w:t>
            </w:r>
            <w:r w:rsidR="00827C3D">
              <w:t xml:space="preserve"> </w:t>
            </w:r>
            <w:r w:rsidRPr="00986712">
              <w:t xml:space="preserve">Процент износа - 80% 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Трещины, частичное разрушение блоков (до арматуры); выщелачивание раствора из швов между блоками; следы увлажнения цоколя и стен подвала</w:t>
            </w:r>
          </w:p>
        </w:tc>
      </w:tr>
      <w:tr w:rsidR="00986712" w:rsidRPr="00986712" w:rsidTr="00A35CE8">
        <w:trPr>
          <w:trHeight w:val="2010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3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Стены наружные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ограничено-работоспособное.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Массовое отпадение штукатурки; выветривание швов; ослабление кирпичной кладки стен, карниза, перемычек с выпадением отдельных кирпичей; высолы и следы увлажнения. Сквозные трещины в перемычках   и под оконными проемами, выпадение кирпичей, незначительное отклонение от вертикали и выпучивание стен</w:t>
            </w:r>
          </w:p>
        </w:tc>
      </w:tr>
      <w:tr w:rsidR="00986712" w:rsidRPr="00986712" w:rsidTr="00A35CE8">
        <w:trPr>
          <w:trHeight w:val="949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4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Стены внутренние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 xml:space="preserve"> Состояние ограничено-работоспособное.</w:t>
            </w:r>
            <w:r w:rsidR="00827C3D">
              <w:t xml:space="preserve"> </w:t>
            </w:r>
            <w:r w:rsidRPr="00986712">
              <w:t>Процент износа  - 65%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986712">
              <w:t>возможным</w:t>
            </w:r>
            <w:proofErr w:type="gramEnd"/>
            <w:r w:rsidRPr="00986712">
              <w:t>.</w:t>
            </w:r>
          </w:p>
        </w:tc>
      </w:tr>
      <w:tr w:rsidR="00986712" w:rsidRPr="00986712" w:rsidTr="00A35CE8">
        <w:trPr>
          <w:trHeight w:val="2070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5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Фасад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Массовое отпадение штукатурки; выветривание швов; ослабление кирпичной кладки стен, карниза, перемычек с выпадением отдельных кирпичей; высолы и следы увлажнения. Сквозные трещины в перемычках   и под оконными проемами, выпадение кирпичей, незначительное отклонение от вертикали и выпучивание стен</w:t>
            </w:r>
          </w:p>
        </w:tc>
      </w:tr>
      <w:tr w:rsidR="00986712" w:rsidRPr="00986712" w:rsidTr="00A35CE8">
        <w:trPr>
          <w:trHeight w:val="2100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lastRenderedPageBreak/>
              <w:t>6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Несущие и ограждающие конструкции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ограничено-работоспособное.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Массовое отпадение штукатурки; выветривание швов; ослабление кирпичной кладки стен, карниза, перемычек с выпадением отдельных кирпичей; высолы и следы увлажнения. Сквозные трещины в перемычках   и под оконными проемами, выпадение кирпичей, незначительное отклонение от вертикали и выпучивание стен</w:t>
            </w:r>
          </w:p>
        </w:tc>
      </w:tr>
      <w:tr w:rsidR="00986712" w:rsidRPr="00986712" w:rsidTr="00A35CE8">
        <w:trPr>
          <w:trHeight w:val="1001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7</w:t>
            </w:r>
          </w:p>
        </w:tc>
        <w:tc>
          <w:tcPr>
            <w:tcW w:w="2815" w:type="dxa"/>
            <w:hideMark/>
          </w:tcPr>
          <w:p w:rsidR="00986712" w:rsidRPr="00986712" w:rsidRDefault="00A35CE8">
            <w:r>
              <w:t>Водостоки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 ограничено-работоспособное.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При визуальном осмотре дефектов не выявлено.</w:t>
            </w:r>
          </w:p>
        </w:tc>
      </w:tr>
      <w:tr w:rsidR="00986712" w:rsidRPr="00986712" w:rsidTr="00A35CE8">
        <w:trPr>
          <w:trHeight w:val="1115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8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Перекрытия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удовлетворительное.   Процент износа  - 60%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Провести визуальный осмотр всех перекрытий не представилось возможности</w:t>
            </w:r>
          </w:p>
        </w:tc>
      </w:tr>
      <w:tr w:rsidR="00986712" w:rsidRPr="00986712" w:rsidTr="00A35CE8">
        <w:trPr>
          <w:trHeight w:val="988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9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Отмостка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Массовые трещины.</w:t>
            </w:r>
          </w:p>
        </w:tc>
      </w:tr>
      <w:tr w:rsidR="00986712" w:rsidRPr="00986712" w:rsidTr="00A35CE8">
        <w:trPr>
          <w:trHeight w:val="2959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10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Крыша (кровля)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ограничено-работоспособное.   Процент износа  - 65%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Кровля: Неплотности фальцев пробоины и нарушение примыканий к выступающим частям местами; просветы при осмотре со стороны чердака; повреждения настенных желобов. Ржавчина на поверхности кровли, свищи, пробоины; искривление и нарушение креплений ограждающей решетки; большое количество протечек</w:t>
            </w:r>
            <w:r w:rsidR="00827C3D">
              <w:t xml:space="preserve">. </w:t>
            </w:r>
            <w:r w:rsidRPr="00986712">
              <w:t>Стропила и обрешётка: Ослабление креплений, болтов, хомутов, скоб; повреждение деталей слуховых окон. Поражение гнилью мауэрлата и концов стропильных ног, ослабление врубок и соединений</w:t>
            </w:r>
          </w:p>
        </w:tc>
      </w:tr>
      <w:tr w:rsidR="00986712" w:rsidRPr="00986712" w:rsidTr="00A35CE8">
        <w:trPr>
          <w:trHeight w:val="1350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11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Полы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 ограничено-работоспособное.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Стирание поверхности в ходовых местах; выбоины до 0,5 м</w:t>
            </w:r>
            <w:proofErr w:type="gramStart"/>
            <w:r w:rsidRPr="00986712">
              <w:t>2</w:t>
            </w:r>
            <w:proofErr w:type="gramEnd"/>
            <w:r w:rsidRPr="00986712">
              <w:t xml:space="preserve"> на площади до 25 %.Отсутствие отдельных плиток, местами вздутия и отставание на площади от 20 до 50 %.</w:t>
            </w:r>
          </w:p>
        </w:tc>
      </w:tr>
      <w:tr w:rsidR="00986712" w:rsidRPr="00986712" w:rsidTr="00A35CE8">
        <w:trPr>
          <w:trHeight w:val="972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lastRenderedPageBreak/>
              <w:t>12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Перегородки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ограничено-работоспособное.  Процент износа  - 65%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Провести визуальный осмотр всех перекрытий не представилось возможности</w:t>
            </w:r>
          </w:p>
        </w:tc>
      </w:tr>
      <w:tr w:rsidR="00986712" w:rsidRPr="00986712" w:rsidTr="00A35CE8">
        <w:trPr>
          <w:trHeight w:val="2955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13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 xml:space="preserve">Оконные заполнения 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Мелкие трещины в местах сопряжения коробок со стенами, истертость или щели в притворах. Замазка местами отстала, частично отсутствуют штапики, трещины стекол, мелкие повреждения отливов. Оконные переплеты рассохлись, покоробились и расшатаны в углах; часть приборов повреждена или отсутствует; отсутствие остекления, отливов. Нижний брус оконного переплета и подоконная доска поражены гнилью, древесина расслаивается, переплеты расшатаны.</w:t>
            </w:r>
          </w:p>
        </w:tc>
      </w:tr>
      <w:tr w:rsidR="00986712" w:rsidRPr="00986712" w:rsidTr="00A35CE8">
        <w:trPr>
          <w:trHeight w:val="999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14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Дверные заполнения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удовлетворительное.   Процент износа  - 25%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При визуальном осмотре дефекты не выявлены.</w:t>
            </w:r>
          </w:p>
        </w:tc>
      </w:tr>
      <w:tr w:rsidR="00986712" w:rsidRPr="00986712" w:rsidTr="00A35CE8">
        <w:trPr>
          <w:trHeight w:val="985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15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Лестничные клетки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ограничено-работоспособное.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 xml:space="preserve"> Выбоины и сколы местами в ступенях.</w:t>
            </w:r>
          </w:p>
        </w:tc>
      </w:tr>
      <w:tr w:rsidR="00986712" w:rsidRPr="00986712" w:rsidTr="00A35CE8">
        <w:trPr>
          <w:trHeight w:val="984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16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Балконы и лоджии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ограничено-работоспособное. Процент износа  - 60%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Протечки, разрушение защитного слоя, обнажение арматуры. Коррозия металлических несущих конструкций (консолей, кронштейнов, подвесок). Трещины в плитах.</w:t>
            </w:r>
          </w:p>
        </w:tc>
      </w:tr>
      <w:tr w:rsidR="00986712" w:rsidRPr="00986712" w:rsidTr="00A35CE8">
        <w:trPr>
          <w:trHeight w:val="3807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lastRenderedPageBreak/>
              <w:t>17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Общие коридоры и тамбуры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Штукатурка Отпадение штукатурки и листов большими массивами на площади более 50 %, при простукивании легко отстает или разбирается руками, окраска водными составами Окрасочный слой растрескался, потемнел и загрязнился; местами отслоения и вздутия. Следы протечек, ржавые пятна, отслоение, вздутие и отпадение окрасочного слоя со шпаклевкой; на поверхности глубокие тр</w:t>
            </w:r>
            <w:r w:rsidR="00827C3D">
              <w:t>ещины, царапины, выбоины. Окрас</w:t>
            </w:r>
            <w:r w:rsidRPr="00986712">
              <w:t xml:space="preserve">ка </w:t>
            </w:r>
            <w:r w:rsidR="00827C3D" w:rsidRPr="00986712">
              <w:t>масляными</w:t>
            </w:r>
            <w:r w:rsidRPr="00986712">
              <w:t xml:space="preserve"> составами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поверхности. Массовые пятна, отслоение, вздутия и отпадение окрасочного слоя со шпаклевкой</w:t>
            </w:r>
          </w:p>
        </w:tc>
      </w:tr>
      <w:tr w:rsidR="00986712" w:rsidRPr="00986712" w:rsidTr="00A35CE8">
        <w:trPr>
          <w:trHeight w:val="1650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18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отопления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</w:t>
            </w:r>
          </w:p>
        </w:tc>
      </w:tr>
      <w:tr w:rsidR="00986712" w:rsidRPr="00986712" w:rsidTr="00A35CE8">
        <w:trPr>
          <w:trHeight w:val="696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19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Автоматизированные тепловые пункты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Отсутствуют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 </w:t>
            </w:r>
          </w:p>
        </w:tc>
      </w:tr>
      <w:tr w:rsidR="00986712" w:rsidRPr="00986712" w:rsidTr="00A35CE8">
        <w:trPr>
          <w:trHeight w:val="1258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20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Общедомовые узлы учета потребления тепловой энергии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удовлетворительное. Процент износа - 50%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В положениях ВСН 53-86(р), отсутствуют данные в отношении элемента «Общедомовые узлы учета потребления тепловой энергии» о признаках дефектов, определяемых визуальным способом,</w:t>
            </w:r>
          </w:p>
        </w:tc>
      </w:tr>
      <w:tr w:rsidR="00986712" w:rsidRPr="00986712" w:rsidTr="00A35CE8">
        <w:trPr>
          <w:trHeight w:val="951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21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Элеваторные узлы системы отопления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удовлетворительное.   Процент износа  - 20%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986712" w:rsidRPr="00986712" w:rsidTr="00A35CE8">
        <w:trPr>
          <w:trHeight w:val="3240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lastRenderedPageBreak/>
              <w:t>22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горячего водоснабжения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986712" w:rsidRPr="00986712" w:rsidTr="00A35CE8">
        <w:trPr>
          <w:trHeight w:val="1365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23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Общедомовые узлы учета потребления ГВС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удовлетворительное. Процент износа - 50%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В положениях ВСН 53-86(р), отсутствуют данные в отношении элемента «Общедомовые узлы учета потребления тепловой энергии» о признаках дефектов, определяемых визуальным способом,</w:t>
            </w:r>
          </w:p>
        </w:tc>
      </w:tr>
      <w:tr w:rsidR="00986712" w:rsidRPr="00986712" w:rsidTr="00A35CE8">
        <w:trPr>
          <w:trHeight w:val="2055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24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холодного водоснабжения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</w:t>
            </w:r>
            <w:proofErr w:type="gramStart"/>
            <w:r w:rsidRPr="00986712">
              <w:t xml:space="preserve">;. </w:t>
            </w:r>
            <w:proofErr w:type="gramEnd"/>
            <w:r w:rsidRPr="00986712">
              <w:t xml:space="preserve">Расстройство арматуры (до 40 %); следы ремонта трубопроводов (хомуты, заварка, замена отдельных участков); значительная коррозия трубопроводов </w:t>
            </w:r>
          </w:p>
        </w:tc>
      </w:tr>
      <w:tr w:rsidR="00986712" w:rsidRPr="00986712" w:rsidTr="00A35CE8">
        <w:trPr>
          <w:trHeight w:val="953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25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Общедомовые узлы учета потребления ХВС</w:t>
            </w:r>
          </w:p>
        </w:tc>
        <w:tc>
          <w:tcPr>
            <w:tcW w:w="3416" w:type="dxa"/>
            <w:hideMark/>
          </w:tcPr>
          <w:p w:rsidR="00986712" w:rsidRPr="00986712" w:rsidRDefault="00986712" w:rsidP="00827C3D">
            <w:r w:rsidRPr="00986712">
              <w:t>Отсутств</w:t>
            </w:r>
            <w:r w:rsidR="00A35CE8">
              <w:t>ую</w:t>
            </w:r>
            <w:r w:rsidRPr="00986712">
              <w:t>т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 </w:t>
            </w:r>
          </w:p>
        </w:tc>
      </w:tr>
      <w:tr w:rsidR="00986712" w:rsidRPr="00986712" w:rsidTr="00A35CE8">
        <w:trPr>
          <w:trHeight w:val="684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26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газоснабжения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Отсутствует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 </w:t>
            </w:r>
          </w:p>
        </w:tc>
      </w:tr>
      <w:tr w:rsidR="00986712" w:rsidRPr="00986712" w:rsidTr="00A35CE8">
        <w:trPr>
          <w:trHeight w:val="977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27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Общедомовые узлы учета потребления газа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Отсутствуют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 </w:t>
            </w:r>
          </w:p>
        </w:tc>
      </w:tr>
      <w:tr w:rsidR="00986712" w:rsidRPr="00986712" w:rsidTr="00A35CE8">
        <w:trPr>
          <w:trHeight w:val="972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lastRenderedPageBreak/>
              <w:t>28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канализации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 xml:space="preserve">На обоих выпусках – систематические засоры, предположительно – из-за отсутствия уклона. </w:t>
            </w:r>
          </w:p>
        </w:tc>
      </w:tr>
      <w:tr w:rsidR="00986712" w:rsidRPr="00986712" w:rsidTr="00A35CE8">
        <w:trPr>
          <w:trHeight w:val="999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29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электроснабжения и освещения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Состояние неудовлетворительное.   Процент износа  - 80%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Отсутствуют</w:t>
            </w:r>
          </w:p>
        </w:tc>
      </w:tr>
      <w:tr w:rsidR="00986712" w:rsidRPr="00986712" w:rsidTr="00A35CE8">
        <w:trPr>
          <w:trHeight w:val="985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29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Общедомовые узлы учета потребления электроэнергии</w:t>
            </w:r>
          </w:p>
        </w:tc>
        <w:tc>
          <w:tcPr>
            <w:tcW w:w="11163" w:type="dxa"/>
            <w:gridSpan w:val="3"/>
            <w:hideMark/>
          </w:tcPr>
          <w:p w:rsidR="00986712" w:rsidRPr="00986712" w:rsidRDefault="00986712">
            <w:r w:rsidRPr="00986712">
              <w:t>В соответствии с положениями  Федерального Закона от 26.03.2003 г. № 35-ФЗ «Об электроэнергетике» с 01.07. 2020 года,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986712" w:rsidRPr="00986712" w:rsidTr="00A35CE8">
        <w:trPr>
          <w:trHeight w:val="970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30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вентиляции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Состоян</w:t>
            </w:r>
            <w:r w:rsidR="00A35CE8">
              <w:t>ие ограничено-работоспособное</w:t>
            </w:r>
            <w:r w:rsidR="00827C3D">
              <w:t>.</w:t>
            </w:r>
            <w:r w:rsidRPr="00986712">
              <w:t xml:space="preserve">  Процент износа  - 60%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Отсутствуют</w:t>
            </w:r>
          </w:p>
        </w:tc>
      </w:tr>
      <w:tr w:rsidR="00986712" w:rsidRPr="00986712" w:rsidTr="00A35CE8">
        <w:trPr>
          <w:trHeight w:val="418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31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Мусоропровод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Отсутствует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 </w:t>
            </w:r>
          </w:p>
        </w:tc>
      </w:tr>
      <w:tr w:rsidR="00986712" w:rsidRPr="00986712" w:rsidTr="00A35CE8">
        <w:trPr>
          <w:trHeight w:val="566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32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Система АППЗ и дымоудаления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Отсутствует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 </w:t>
            </w:r>
          </w:p>
        </w:tc>
      </w:tr>
      <w:tr w:rsidR="00986712" w:rsidRPr="00986712" w:rsidTr="00A35CE8">
        <w:trPr>
          <w:trHeight w:val="887"/>
        </w:trPr>
        <w:tc>
          <w:tcPr>
            <w:tcW w:w="808" w:type="dxa"/>
            <w:hideMark/>
          </w:tcPr>
          <w:p w:rsidR="00986712" w:rsidRPr="00986712" w:rsidRDefault="00986712">
            <w:r w:rsidRPr="00986712">
              <w:t>33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Внутренний пожарный водопровод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Отсутствует</w:t>
            </w:r>
          </w:p>
        </w:tc>
        <w:tc>
          <w:tcPr>
            <w:tcW w:w="7747" w:type="dxa"/>
            <w:gridSpan w:val="2"/>
            <w:hideMark/>
          </w:tcPr>
          <w:p w:rsidR="00986712" w:rsidRPr="00986712" w:rsidRDefault="00986712">
            <w:r w:rsidRPr="00986712">
              <w:t> </w:t>
            </w:r>
          </w:p>
        </w:tc>
      </w:tr>
      <w:tr w:rsidR="00A35CE8" w:rsidRPr="00986712" w:rsidTr="00A35CE8">
        <w:trPr>
          <w:trHeight w:val="632"/>
        </w:trPr>
        <w:tc>
          <w:tcPr>
            <w:tcW w:w="808" w:type="dxa"/>
            <w:hideMark/>
          </w:tcPr>
          <w:p w:rsidR="00A35CE8" w:rsidRPr="00986712" w:rsidRDefault="00A35CE8">
            <w:r w:rsidRPr="00986712">
              <w:t>34</w:t>
            </w:r>
          </w:p>
        </w:tc>
        <w:tc>
          <w:tcPr>
            <w:tcW w:w="2815" w:type="dxa"/>
            <w:hideMark/>
          </w:tcPr>
          <w:p w:rsidR="00A35CE8" w:rsidRPr="00986712" w:rsidRDefault="00A35CE8">
            <w:r w:rsidRPr="00986712">
              <w:t>Переговорно-замочное устройство</w:t>
            </w:r>
          </w:p>
        </w:tc>
        <w:tc>
          <w:tcPr>
            <w:tcW w:w="11163" w:type="dxa"/>
            <w:gridSpan w:val="3"/>
            <w:hideMark/>
          </w:tcPr>
          <w:p w:rsidR="00A35CE8" w:rsidRPr="00986712" w:rsidRDefault="00A35CE8">
            <w:r w:rsidRPr="00986712">
              <w:t>Переговорно-замочное устройств</w:t>
            </w:r>
            <w:proofErr w:type="gramStart"/>
            <w:r w:rsidRPr="00986712">
              <w:t>о ООО</w:t>
            </w:r>
            <w:proofErr w:type="gramEnd"/>
            <w:r w:rsidRPr="00986712">
              <w:t xml:space="preserve"> «УК СТАНДАРТ» не обслуживается. </w:t>
            </w:r>
          </w:p>
          <w:p w:rsidR="00A35CE8" w:rsidRPr="00986712" w:rsidRDefault="00A35CE8">
            <w:r w:rsidRPr="00986712">
              <w:t> </w:t>
            </w:r>
          </w:p>
        </w:tc>
      </w:tr>
      <w:tr w:rsidR="00A35CE8" w:rsidRPr="00986712" w:rsidTr="00A35CE8">
        <w:trPr>
          <w:trHeight w:val="542"/>
        </w:trPr>
        <w:tc>
          <w:tcPr>
            <w:tcW w:w="808" w:type="dxa"/>
            <w:hideMark/>
          </w:tcPr>
          <w:p w:rsidR="00A35CE8" w:rsidRPr="00986712" w:rsidRDefault="00A35CE8">
            <w:r w:rsidRPr="00986712">
              <w:t>35</w:t>
            </w:r>
          </w:p>
        </w:tc>
        <w:tc>
          <w:tcPr>
            <w:tcW w:w="2815" w:type="dxa"/>
            <w:hideMark/>
          </w:tcPr>
          <w:p w:rsidR="00A35CE8" w:rsidRPr="00986712" w:rsidRDefault="00A35CE8">
            <w:r w:rsidRPr="00986712">
              <w:t>Лифтовое оборудование</w:t>
            </w:r>
          </w:p>
        </w:tc>
        <w:tc>
          <w:tcPr>
            <w:tcW w:w="11163" w:type="dxa"/>
            <w:gridSpan w:val="3"/>
            <w:hideMark/>
          </w:tcPr>
          <w:p w:rsidR="00A35CE8" w:rsidRPr="00986712" w:rsidRDefault="00A35CE8">
            <w:r w:rsidRPr="00986712">
              <w:t>Отсутствует</w:t>
            </w:r>
          </w:p>
          <w:p w:rsidR="00A35CE8" w:rsidRPr="00986712" w:rsidRDefault="00A35CE8">
            <w:r w:rsidRPr="00986712">
              <w:t> </w:t>
            </w:r>
          </w:p>
        </w:tc>
      </w:tr>
      <w:tr w:rsidR="00986712" w:rsidRPr="00986712" w:rsidTr="00A35CE8">
        <w:trPr>
          <w:trHeight w:val="672"/>
        </w:trPr>
        <w:tc>
          <w:tcPr>
            <w:tcW w:w="14786" w:type="dxa"/>
            <w:gridSpan w:val="5"/>
            <w:vMerge w:val="restart"/>
            <w:hideMark/>
          </w:tcPr>
          <w:p w:rsidR="00986712" w:rsidRPr="00986712" w:rsidRDefault="00986712">
            <w:r w:rsidRPr="00986712">
              <w:t xml:space="preserve"> </w:t>
            </w:r>
            <w:r w:rsidRPr="00986712">
              <w:rPr>
                <w:b/>
                <w:bCs/>
              </w:rPr>
              <w:t xml:space="preserve">Решение комиссии: </w:t>
            </w:r>
            <w:r w:rsidRPr="00986712">
              <w:t>На основании результатов общего (осеннего) осмотра комиссия считает, что здание многоквартирного дома по адресу:   ул. Западная, 27 в г. Владивостоке,  находится в ограниченно-работоспособном состоянии. Необходимо проведение следующих работ:</w:t>
            </w:r>
          </w:p>
        </w:tc>
      </w:tr>
      <w:tr w:rsidR="00986712" w:rsidRPr="00986712" w:rsidTr="00A35CE8">
        <w:trPr>
          <w:trHeight w:val="803"/>
        </w:trPr>
        <w:tc>
          <w:tcPr>
            <w:tcW w:w="14786" w:type="dxa"/>
            <w:gridSpan w:val="5"/>
            <w:vMerge/>
            <w:hideMark/>
          </w:tcPr>
          <w:p w:rsidR="00986712" w:rsidRPr="00986712" w:rsidRDefault="00986712"/>
        </w:tc>
      </w:tr>
      <w:tr w:rsidR="00986712" w:rsidRPr="00986712" w:rsidTr="00A35CE8">
        <w:trPr>
          <w:trHeight w:val="420"/>
        </w:trPr>
        <w:tc>
          <w:tcPr>
            <w:tcW w:w="808" w:type="dxa"/>
            <w:noWrap/>
            <w:hideMark/>
          </w:tcPr>
          <w:p w:rsidR="00986712" w:rsidRPr="00986712" w:rsidRDefault="00986712" w:rsidP="00986712">
            <w:pPr>
              <w:rPr>
                <w:b/>
                <w:bCs/>
              </w:rPr>
            </w:pPr>
            <w:r w:rsidRPr="00986712">
              <w:rPr>
                <w:b/>
                <w:bCs/>
              </w:rPr>
              <w:t xml:space="preserve">№ </w:t>
            </w:r>
            <w:proofErr w:type="gramStart"/>
            <w:r w:rsidRPr="00986712">
              <w:rPr>
                <w:b/>
                <w:bCs/>
              </w:rPr>
              <w:t>п</w:t>
            </w:r>
            <w:proofErr w:type="gramEnd"/>
            <w:r w:rsidRPr="00986712">
              <w:rPr>
                <w:b/>
                <w:bCs/>
              </w:rPr>
              <w:t>/п</w:t>
            </w:r>
          </w:p>
        </w:tc>
        <w:tc>
          <w:tcPr>
            <w:tcW w:w="2815" w:type="dxa"/>
            <w:noWrap/>
            <w:hideMark/>
          </w:tcPr>
          <w:p w:rsidR="00986712" w:rsidRPr="00986712" w:rsidRDefault="00986712" w:rsidP="00986712">
            <w:pPr>
              <w:rPr>
                <w:b/>
                <w:bCs/>
              </w:rPr>
            </w:pPr>
            <w:r w:rsidRPr="00986712">
              <w:rPr>
                <w:b/>
                <w:bCs/>
              </w:rPr>
              <w:t xml:space="preserve">Вид  ремонта </w:t>
            </w:r>
          </w:p>
        </w:tc>
        <w:tc>
          <w:tcPr>
            <w:tcW w:w="11163" w:type="dxa"/>
            <w:gridSpan w:val="3"/>
            <w:hideMark/>
          </w:tcPr>
          <w:p w:rsidR="00986712" w:rsidRPr="00986712" w:rsidRDefault="00986712" w:rsidP="00986712">
            <w:pPr>
              <w:rPr>
                <w:b/>
                <w:bCs/>
              </w:rPr>
            </w:pPr>
            <w:r w:rsidRPr="00986712">
              <w:rPr>
                <w:b/>
                <w:bCs/>
              </w:rPr>
              <w:t>Конструкции, элементы и инженерное оборудование, требующие ремонта</w:t>
            </w:r>
          </w:p>
        </w:tc>
      </w:tr>
      <w:tr w:rsidR="00986712" w:rsidRPr="00986712" w:rsidTr="00A35CE8">
        <w:trPr>
          <w:trHeight w:val="570"/>
        </w:trPr>
        <w:tc>
          <w:tcPr>
            <w:tcW w:w="808" w:type="dxa"/>
            <w:noWrap/>
            <w:hideMark/>
          </w:tcPr>
          <w:p w:rsidR="00986712" w:rsidRPr="00986712" w:rsidRDefault="00986712">
            <w:r w:rsidRPr="00986712">
              <w:lastRenderedPageBreak/>
              <w:t>1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Текущий ремонт</w:t>
            </w:r>
          </w:p>
        </w:tc>
        <w:tc>
          <w:tcPr>
            <w:tcW w:w="11163" w:type="dxa"/>
            <w:gridSpan w:val="3"/>
            <w:hideMark/>
          </w:tcPr>
          <w:p w:rsidR="00986712" w:rsidRPr="00986712" w:rsidRDefault="00986712">
            <w:r w:rsidRPr="00986712">
              <w:t>Кровля</w:t>
            </w:r>
            <w:r w:rsidR="00A35CE8">
              <w:t xml:space="preserve">, </w:t>
            </w:r>
            <w:r w:rsidR="00A35CE8" w:rsidRPr="00A35CE8">
              <w:t>Водостоки Лестничные клетки</w:t>
            </w:r>
          </w:p>
        </w:tc>
      </w:tr>
      <w:tr w:rsidR="00986712" w:rsidRPr="00986712" w:rsidTr="00A35CE8">
        <w:trPr>
          <w:trHeight w:val="966"/>
        </w:trPr>
        <w:tc>
          <w:tcPr>
            <w:tcW w:w="808" w:type="dxa"/>
            <w:noWrap/>
            <w:hideMark/>
          </w:tcPr>
          <w:p w:rsidR="00986712" w:rsidRPr="00986712" w:rsidRDefault="00986712">
            <w:r w:rsidRPr="00986712">
              <w:t>2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Капитальный ремонт</w:t>
            </w:r>
          </w:p>
        </w:tc>
        <w:tc>
          <w:tcPr>
            <w:tcW w:w="11163" w:type="dxa"/>
            <w:gridSpan w:val="3"/>
            <w:hideMark/>
          </w:tcPr>
          <w:p w:rsidR="00986712" w:rsidRPr="00986712" w:rsidRDefault="00986712" w:rsidP="00986712">
            <w:r w:rsidRPr="00986712">
              <w:t xml:space="preserve">Стены наружные Фасад. Несущие и ограждающие конструкции Полы Система отопления   Система горячего водоснабжения Система холодного водоснабжения Система канализации, </w:t>
            </w:r>
            <w:r w:rsidR="00A35CE8">
              <w:t xml:space="preserve">Система электроснабжения </w:t>
            </w:r>
            <w:r w:rsidRPr="00986712">
              <w:t>Коридоры и тамбуры,  Оконные заполнения</w:t>
            </w:r>
          </w:p>
        </w:tc>
      </w:tr>
      <w:tr w:rsidR="00986712" w:rsidRPr="00986712" w:rsidTr="00A35CE8">
        <w:trPr>
          <w:trHeight w:val="2115"/>
        </w:trPr>
        <w:tc>
          <w:tcPr>
            <w:tcW w:w="808" w:type="dxa"/>
            <w:noWrap/>
            <w:hideMark/>
          </w:tcPr>
          <w:p w:rsidR="00986712" w:rsidRPr="00986712" w:rsidRDefault="00986712">
            <w:r w:rsidRPr="00986712">
              <w:t>3</w:t>
            </w:r>
          </w:p>
        </w:tc>
        <w:tc>
          <w:tcPr>
            <w:tcW w:w="2815" w:type="dxa"/>
            <w:hideMark/>
          </w:tcPr>
          <w:p w:rsidR="00986712" w:rsidRPr="00986712" w:rsidRDefault="00986712">
            <w:r w:rsidRPr="00986712">
              <w:t>Мероприятия по энергосбережению и энергоэффективности</w:t>
            </w:r>
          </w:p>
        </w:tc>
        <w:tc>
          <w:tcPr>
            <w:tcW w:w="11163" w:type="dxa"/>
            <w:gridSpan w:val="3"/>
            <w:noWrap/>
            <w:hideMark/>
          </w:tcPr>
          <w:p w:rsidR="00986712" w:rsidRPr="00986712" w:rsidRDefault="00986712">
            <w:r w:rsidRPr="00986712">
              <w:t>Необходимо проведение мероприятий по энергосбережению и энергоэффективности</w:t>
            </w:r>
          </w:p>
        </w:tc>
      </w:tr>
      <w:tr w:rsidR="00986712" w:rsidRPr="00986712" w:rsidTr="00A35CE8">
        <w:trPr>
          <w:trHeight w:val="480"/>
        </w:trPr>
        <w:tc>
          <w:tcPr>
            <w:tcW w:w="14786" w:type="dxa"/>
            <w:gridSpan w:val="5"/>
            <w:noWrap/>
            <w:hideMark/>
          </w:tcPr>
          <w:p w:rsidR="00986712" w:rsidRPr="00986712" w:rsidRDefault="00986712">
            <w:pPr>
              <w:rPr>
                <w:b/>
                <w:bCs/>
              </w:rPr>
            </w:pPr>
            <w:r w:rsidRPr="00986712">
              <w:rPr>
                <w:b/>
                <w:bCs/>
              </w:rPr>
              <w:t>Подписи:</w:t>
            </w:r>
          </w:p>
        </w:tc>
      </w:tr>
      <w:tr w:rsidR="00986712" w:rsidRPr="00986712" w:rsidTr="00A35CE8">
        <w:trPr>
          <w:trHeight w:val="829"/>
        </w:trPr>
        <w:tc>
          <w:tcPr>
            <w:tcW w:w="3623" w:type="dxa"/>
            <w:gridSpan w:val="2"/>
            <w:hideMark/>
          </w:tcPr>
          <w:p w:rsidR="00986712" w:rsidRPr="00986712" w:rsidRDefault="00986712">
            <w:r w:rsidRPr="00986712">
              <w:t>Председатель комиссии: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Главный инженер ООО "УК СТАНДАРТ"</w:t>
            </w:r>
          </w:p>
        </w:tc>
        <w:tc>
          <w:tcPr>
            <w:tcW w:w="3948" w:type="dxa"/>
            <w:noWrap/>
            <w:hideMark/>
          </w:tcPr>
          <w:p w:rsidR="00986712" w:rsidRPr="00986712" w:rsidRDefault="00986712">
            <w:r w:rsidRPr="00986712">
              <w:t>___________</w:t>
            </w:r>
          </w:p>
        </w:tc>
        <w:tc>
          <w:tcPr>
            <w:tcW w:w="3799" w:type="dxa"/>
            <w:noWrap/>
            <w:hideMark/>
          </w:tcPr>
          <w:p w:rsidR="00986712" w:rsidRPr="00986712" w:rsidRDefault="00986712">
            <w:r w:rsidRPr="00986712">
              <w:t>Цылёв А.А.</w:t>
            </w:r>
          </w:p>
        </w:tc>
      </w:tr>
      <w:tr w:rsidR="00986712" w:rsidRPr="00986712" w:rsidTr="00A35CE8">
        <w:trPr>
          <w:trHeight w:val="810"/>
        </w:trPr>
        <w:tc>
          <w:tcPr>
            <w:tcW w:w="3623" w:type="dxa"/>
            <w:gridSpan w:val="2"/>
            <w:noWrap/>
            <w:hideMark/>
          </w:tcPr>
          <w:p w:rsidR="00986712" w:rsidRPr="00986712" w:rsidRDefault="00986712">
            <w:r w:rsidRPr="00986712">
              <w:t>Члены комиссии:</w:t>
            </w:r>
          </w:p>
        </w:tc>
        <w:tc>
          <w:tcPr>
            <w:tcW w:w="3416" w:type="dxa"/>
            <w:hideMark/>
          </w:tcPr>
          <w:p w:rsidR="00986712" w:rsidRPr="00986712" w:rsidRDefault="00986712">
            <w:r w:rsidRPr="00986712">
              <w:t>Заместитель генерального директор</w:t>
            </w:r>
            <w:proofErr w:type="gramStart"/>
            <w:r w:rsidRPr="00986712">
              <w:t>а ООО</w:t>
            </w:r>
            <w:proofErr w:type="gramEnd"/>
            <w:r w:rsidRPr="00986712">
              <w:t xml:space="preserve"> "УК СТАНДАРТ"</w:t>
            </w:r>
          </w:p>
        </w:tc>
        <w:tc>
          <w:tcPr>
            <w:tcW w:w="3948" w:type="dxa"/>
            <w:noWrap/>
            <w:hideMark/>
          </w:tcPr>
          <w:p w:rsidR="00986712" w:rsidRPr="00986712" w:rsidRDefault="00986712">
            <w:r w:rsidRPr="00986712">
              <w:t>__________</w:t>
            </w:r>
          </w:p>
        </w:tc>
        <w:tc>
          <w:tcPr>
            <w:tcW w:w="3799" w:type="dxa"/>
            <w:noWrap/>
            <w:hideMark/>
          </w:tcPr>
          <w:p w:rsidR="00986712" w:rsidRPr="00986712" w:rsidRDefault="00986712">
            <w:r w:rsidRPr="00986712">
              <w:t>Климовский А.Д.</w:t>
            </w:r>
          </w:p>
        </w:tc>
      </w:tr>
      <w:tr w:rsidR="00986712" w:rsidRPr="00986712" w:rsidTr="00A35CE8">
        <w:trPr>
          <w:trHeight w:val="930"/>
        </w:trPr>
        <w:tc>
          <w:tcPr>
            <w:tcW w:w="7039" w:type="dxa"/>
            <w:gridSpan w:val="3"/>
            <w:hideMark/>
          </w:tcPr>
          <w:p w:rsidR="00986712" w:rsidRPr="00986712" w:rsidRDefault="00986712">
            <w:r w:rsidRPr="00986712">
              <w:t>Представитель собственников помещений:</w:t>
            </w:r>
          </w:p>
        </w:tc>
        <w:tc>
          <w:tcPr>
            <w:tcW w:w="3948" w:type="dxa"/>
            <w:noWrap/>
            <w:hideMark/>
          </w:tcPr>
          <w:p w:rsidR="00986712" w:rsidRPr="00986712" w:rsidRDefault="00986712">
            <w:r w:rsidRPr="00986712">
              <w:t>___________</w:t>
            </w:r>
          </w:p>
        </w:tc>
        <w:tc>
          <w:tcPr>
            <w:tcW w:w="3799" w:type="dxa"/>
            <w:noWrap/>
            <w:hideMark/>
          </w:tcPr>
          <w:p w:rsidR="00986712" w:rsidRPr="00986712" w:rsidRDefault="00986712">
            <w:r w:rsidRPr="00986712">
              <w:t>Шморгун Р.В.</w:t>
            </w:r>
          </w:p>
        </w:tc>
      </w:tr>
    </w:tbl>
    <w:p w:rsidR="00986712" w:rsidRPr="00A5406A" w:rsidRDefault="00986712"/>
    <w:sectPr w:rsidR="00986712" w:rsidRPr="00A5406A" w:rsidSect="00A5406A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45"/>
    <w:rsid w:val="000C2D7B"/>
    <w:rsid w:val="001851B4"/>
    <w:rsid w:val="0028582B"/>
    <w:rsid w:val="00581D71"/>
    <w:rsid w:val="006E4B8D"/>
    <w:rsid w:val="00736DC5"/>
    <w:rsid w:val="007E7041"/>
    <w:rsid w:val="00827C3D"/>
    <w:rsid w:val="009406D2"/>
    <w:rsid w:val="00986712"/>
    <w:rsid w:val="009F3D79"/>
    <w:rsid w:val="00A35CE8"/>
    <w:rsid w:val="00A5406A"/>
    <w:rsid w:val="00B41D4C"/>
    <w:rsid w:val="00F20445"/>
    <w:rsid w:val="00F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11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2022-04-10T22:32:00Z</dcterms:created>
  <dcterms:modified xsi:type="dcterms:W3CDTF">2022-04-11T03:26:00Z</dcterms:modified>
</cp:coreProperties>
</file>