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7" w:type="dxa"/>
        <w:tblInd w:w="93" w:type="dxa"/>
        <w:tblLook w:val="04A0" w:firstRow="1" w:lastRow="0" w:firstColumn="1" w:lastColumn="0" w:noHBand="0" w:noVBand="1"/>
      </w:tblPr>
      <w:tblGrid>
        <w:gridCol w:w="1040"/>
        <w:gridCol w:w="780"/>
        <w:gridCol w:w="1749"/>
        <w:gridCol w:w="1090"/>
        <w:gridCol w:w="1090"/>
        <w:gridCol w:w="1358"/>
        <w:gridCol w:w="1360"/>
        <w:gridCol w:w="1040"/>
        <w:gridCol w:w="1040"/>
        <w:gridCol w:w="1040"/>
        <w:gridCol w:w="1040"/>
        <w:gridCol w:w="1760"/>
      </w:tblGrid>
      <w:tr w:rsidR="007370B2" w:rsidRPr="007370B2" w:rsidTr="007370B2">
        <w:trPr>
          <w:trHeight w:val="405"/>
        </w:trPr>
        <w:tc>
          <w:tcPr>
            <w:tcW w:w="14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</w:tc>
      </w:tr>
      <w:tr w:rsidR="007370B2" w:rsidRPr="007370B2" w:rsidTr="007370B2">
        <w:trPr>
          <w:trHeight w:val="405"/>
        </w:trPr>
        <w:tc>
          <w:tcPr>
            <w:tcW w:w="14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ОБЩЕГО (ВЕСЕННЕГО) ОСМОТРА ОБЩЕГО ИМУЩЕСТВА</w:t>
            </w:r>
          </w:p>
        </w:tc>
      </w:tr>
      <w:tr w:rsidR="007370B2" w:rsidRPr="007370B2" w:rsidTr="007370B2">
        <w:trPr>
          <w:trHeight w:val="405"/>
        </w:trPr>
        <w:tc>
          <w:tcPr>
            <w:tcW w:w="14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</w:tr>
      <w:tr w:rsidR="007370B2" w:rsidRPr="007370B2" w:rsidTr="007370B2">
        <w:trPr>
          <w:trHeight w:val="420"/>
        </w:trPr>
        <w:tc>
          <w:tcPr>
            <w:tcW w:w="1438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ул. Борисенко, 19</w:t>
            </w:r>
          </w:p>
        </w:tc>
      </w:tr>
      <w:tr w:rsidR="007370B2" w:rsidRPr="007370B2" w:rsidTr="007370B2">
        <w:trPr>
          <w:trHeight w:val="40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370B2" w:rsidRPr="007370B2" w:rsidTr="007370B2">
        <w:trPr>
          <w:trHeight w:val="420"/>
        </w:trPr>
        <w:tc>
          <w:tcPr>
            <w:tcW w:w="35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24 мая 2021 г.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(населенный пункт)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370B2" w:rsidRPr="007370B2" w:rsidTr="007370B2">
        <w:trPr>
          <w:trHeight w:val="405"/>
        </w:trPr>
        <w:tc>
          <w:tcPr>
            <w:tcW w:w="14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B2" w:rsidRPr="007370B2" w:rsidRDefault="007370B2" w:rsidP="007370B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7370B2" w:rsidRPr="007370B2" w:rsidTr="007370B2">
        <w:trPr>
          <w:trHeight w:val="4233"/>
        </w:trPr>
        <w:tc>
          <w:tcPr>
            <w:tcW w:w="35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08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7370B2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C028F6" w:rsidRPr="007370B2" w:rsidTr="00C808FE">
        <w:trPr>
          <w:trHeight w:val="464"/>
        </w:trPr>
        <w:tc>
          <w:tcPr>
            <w:tcW w:w="35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7370B2" w:rsidRDefault="00C028F6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081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28F6" w:rsidRPr="007370B2" w:rsidRDefault="00C028F6" w:rsidP="007370B2">
            <w:pPr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  <w:p w:rsidR="00C028F6" w:rsidRPr="007370B2" w:rsidRDefault="00C028F6" w:rsidP="007370B2">
            <w:pPr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676"/>
        </w:trPr>
        <w:tc>
          <w:tcPr>
            <w:tcW w:w="4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1953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7370B2" w:rsidRPr="007370B2" w:rsidTr="007370B2">
        <w:trPr>
          <w:trHeight w:val="409"/>
        </w:trPr>
        <w:tc>
          <w:tcPr>
            <w:tcW w:w="14387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7370B2" w:rsidRPr="007370B2" w:rsidTr="007370B2">
        <w:trPr>
          <w:trHeight w:val="405"/>
        </w:trPr>
        <w:tc>
          <w:tcPr>
            <w:tcW w:w="71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7370B2" w:rsidRPr="007370B2" w:rsidTr="007370B2">
        <w:trPr>
          <w:trHeight w:val="714"/>
        </w:trPr>
        <w:tc>
          <w:tcPr>
            <w:tcW w:w="71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7370B2" w:rsidRPr="007370B2" w:rsidTr="007370B2">
        <w:trPr>
          <w:trHeight w:val="405"/>
        </w:trPr>
        <w:tc>
          <w:tcPr>
            <w:tcW w:w="71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05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05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6994822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638400</w:t>
            </w:r>
          </w:p>
        </w:tc>
      </w:tr>
      <w:tr w:rsidR="007370B2" w:rsidRPr="007370B2" w:rsidTr="007370B2">
        <w:trPr>
          <w:trHeight w:val="405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20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20"/>
        </w:trPr>
        <w:tc>
          <w:tcPr>
            <w:tcW w:w="10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20"/>
        </w:trPr>
        <w:tc>
          <w:tcPr>
            <w:tcW w:w="14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7370B2" w:rsidRPr="007370B2" w:rsidTr="007370B2">
        <w:trPr>
          <w:trHeight w:val="6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66%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7370B2" w:rsidRPr="007370B2" w:rsidTr="007370B2">
        <w:trPr>
          <w:trHeight w:val="368"/>
        </w:trPr>
        <w:tc>
          <w:tcPr>
            <w:tcW w:w="1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="00C028F6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3 107,48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="00C028F6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1716.08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="00C028F6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278,7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общая п</w:t>
            </w:r>
            <w:r w:rsidR="00C028F6">
              <w:rPr>
                <w:rFonts w:eastAsia="Times New Roman"/>
                <w:color w:val="000000"/>
                <w:lang w:eastAsia="ru-RU"/>
              </w:rPr>
              <w:t>лощадь мест общего пользования</w:t>
            </w:r>
            <w:proofErr w:type="gramStart"/>
            <w:r w:rsidR="00C028F6">
              <w:rPr>
                <w:rFonts w:eastAsia="Times New Roman"/>
                <w:color w:val="000000"/>
                <w:lang w:eastAsia="ru-RU"/>
              </w:rPr>
              <w:t>,</w:t>
            </w:r>
            <w:r w:rsidRPr="007370B2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="00C028F6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1 112,80</w:t>
            </w:r>
          </w:p>
        </w:tc>
      </w:tr>
      <w:tr w:rsidR="007370B2" w:rsidRPr="007370B2" w:rsidTr="00C028F6">
        <w:trPr>
          <w:trHeight w:val="561"/>
        </w:trPr>
        <w:tc>
          <w:tcPr>
            <w:tcW w:w="1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370B2" w:rsidRPr="007370B2" w:rsidTr="00C028F6">
        <w:trPr>
          <w:trHeight w:val="400"/>
        </w:trPr>
        <w:tc>
          <w:tcPr>
            <w:tcW w:w="1438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7370B2" w:rsidRPr="007370B2" w:rsidTr="007370B2">
        <w:trPr>
          <w:trHeight w:val="648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383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7370B2">
        <w:trPr>
          <w:trHeight w:val="420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7370B2" w:rsidRPr="007370B2" w:rsidTr="00C028F6">
        <w:trPr>
          <w:trHeight w:val="267"/>
        </w:trPr>
        <w:tc>
          <w:tcPr>
            <w:tcW w:w="1438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8. Описание основных конструктивных элементов</w:t>
            </w:r>
          </w:p>
        </w:tc>
      </w:tr>
      <w:tr w:rsidR="007370B2" w:rsidRPr="007370B2" w:rsidTr="00C028F6">
        <w:trPr>
          <w:trHeight w:val="353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7370B2" w:rsidRPr="007370B2" w:rsidTr="007370B2">
        <w:trPr>
          <w:trHeight w:val="2846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1959.7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Крыша здания вальмовая, выполнена многоскатной по наслонным и накосным деревянным стропилам. Угол наклона крыши составляет 32*. Кровельное покрытие выполнено из асбестоцементных волнистых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предусмотрено четыре слуховых окна с вентиляционными решётками. Несущие конструкции крыши покрыты  известковым раствором. Водосток наружный организованный.</w:t>
            </w:r>
          </w:p>
        </w:tc>
      </w:tr>
      <w:tr w:rsidR="007370B2" w:rsidRPr="007370B2" w:rsidTr="007370B2">
        <w:trPr>
          <w:trHeight w:val="1640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2989.65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 xml:space="preserve">Кладка из керамического кирпича на цементно-песчаном растворе. Фасад оштукатурен, окрашен водоэмульсионными составами.  Первый этаж со стороны лицевого фасада частично облицован </w:t>
            </w:r>
            <w:proofErr w:type="spellStart"/>
            <w:r w:rsidRPr="007370B2">
              <w:rPr>
                <w:rFonts w:eastAsia="Times New Roman"/>
                <w:color w:val="000000"/>
                <w:lang w:eastAsia="ru-RU"/>
              </w:rPr>
              <w:t>алюкобондом</w:t>
            </w:r>
            <w:proofErr w:type="spellEnd"/>
            <w:r w:rsidRPr="007370B2">
              <w:rPr>
                <w:rFonts w:eastAsia="Times New Roman"/>
                <w:color w:val="000000"/>
                <w:lang w:eastAsia="ru-RU"/>
              </w:rPr>
              <w:t>. Устроены две пожарные лестницы со стороны тыльного фасада. Со стороны лицевого фасада устроены балконы.</w:t>
            </w:r>
          </w:p>
        </w:tc>
      </w:tr>
      <w:tr w:rsidR="007370B2" w:rsidRPr="007370B2" w:rsidTr="007370B2">
        <w:trPr>
          <w:trHeight w:val="416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719.28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Кладка из керамического кирпича на цементно-песчаном растворе.</w:t>
            </w:r>
          </w:p>
        </w:tc>
      </w:tr>
      <w:tr w:rsidR="007370B2" w:rsidRPr="007370B2" w:rsidTr="007370B2">
        <w:trPr>
          <w:trHeight w:val="1269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3 195.36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Чердачные - деревянные,   оштукатуренные по деревянным балкам, междуэтажные и подвальные – железобетонные плиты. Чердачное перекрытие со стороны жилых помещений третьего этажа обшито досками, оштукатурено, окрашено водными составами.</w:t>
            </w:r>
          </w:p>
        </w:tc>
      </w:tr>
      <w:tr w:rsidR="007370B2" w:rsidRPr="007370B2" w:rsidTr="007370B2">
        <w:trPr>
          <w:trHeight w:val="986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251.9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7370B2" w:rsidRPr="007370B2" w:rsidTr="007370B2">
        <w:trPr>
          <w:trHeight w:val="418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134.04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7370B2" w:rsidRPr="007370B2" w:rsidTr="007370B2">
        <w:trPr>
          <w:trHeight w:val="694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139.0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Помещения технического подвала приватизированы. Стены – фундаментные блоки</w:t>
            </w:r>
          </w:p>
        </w:tc>
      </w:tr>
      <w:tr w:rsidR="007370B2" w:rsidRPr="007370B2" w:rsidTr="007370B2">
        <w:trPr>
          <w:trHeight w:val="405"/>
        </w:trPr>
        <w:tc>
          <w:tcPr>
            <w:tcW w:w="1438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7370B2" w:rsidRPr="007370B2" w:rsidTr="007370B2">
        <w:trPr>
          <w:trHeight w:val="411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370B2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7370B2" w:rsidRPr="007370B2" w:rsidTr="007370B2">
        <w:trPr>
          <w:trHeight w:val="2260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Ввод силового кабеля в здание выполнен по оси</w:t>
            </w: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 xml:space="preserve"> Б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 м/о 4-5 в уровне 1-го этажа. Распределительный шкаф ВРУ расположен в помещении 2-го подъезда</w:t>
            </w: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 xml:space="preserve">  Н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а каждом этаже здания установлены распределительные щиты. К распределительным щитам кабели проложены в </w:t>
            </w:r>
            <w:proofErr w:type="spellStart"/>
            <w:r w:rsidRPr="007370B2">
              <w:rPr>
                <w:rFonts w:eastAsia="Times New Roman"/>
                <w:color w:val="000000"/>
                <w:lang w:eastAsia="ru-RU"/>
              </w:rPr>
              <w:t>металлоканалах</w:t>
            </w:r>
            <w:proofErr w:type="spellEnd"/>
            <w:r w:rsidRPr="007370B2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370B2">
              <w:rPr>
                <w:rFonts w:eastAsia="Times New Roman"/>
                <w:color w:val="000000"/>
                <w:lang w:eastAsia="ru-RU"/>
              </w:rPr>
              <w:t xml:space="preserve">по перегородкам. Напряжение в сети рабочего освещения 220В. </w:t>
            </w:r>
            <w:r w:rsidR="00C028F6">
              <w:rPr>
                <w:rFonts w:eastAsia="Times New Roman"/>
                <w:color w:val="000000"/>
                <w:lang w:eastAsia="ru-RU"/>
              </w:rPr>
              <w:t>Устроен прибор учёта (собственность МУПВ «ВПЭС»)</w:t>
            </w:r>
          </w:p>
        </w:tc>
      </w:tr>
      <w:tr w:rsidR="007370B2" w:rsidRPr="007370B2" w:rsidTr="007370B2">
        <w:trPr>
          <w:trHeight w:val="1697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цокольного этажа. Внутренняя разводка сетей горячего водоснабжения от магистральной трубы до потребителей выполнена их стальных труб Ø 25 мм</w:t>
            </w:r>
          </w:p>
        </w:tc>
      </w:tr>
      <w:tr w:rsidR="007370B2" w:rsidRPr="007370B2" w:rsidTr="007370B2">
        <w:trPr>
          <w:trHeight w:val="1693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цокольного этажа.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7370B2" w:rsidRPr="007370B2" w:rsidTr="007370B2">
        <w:trPr>
          <w:trHeight w:val="697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>, выпуск в городские сети КГУП «Приморский водоканал», выполнено чугунными трубами Ø 100</w:t>
            </w:r>
          </w:p>
        </w:tc>
      </w:tr>
      <w:tr w:rsidR="007370B2" w:rsidRPr="007370B2" w:rsidTr="007370B2">
        <w:trPr>
          <w:trHeight w:val="702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370B2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7370B2">
              <w:rPr>
                <w:rFonts w:eastAsia="Times New Roman"/>
                <w:color w:val="000000"/>
                <w:lang w:eastAsia="ru-RU"/>
              </w:rPr>
              <w:t xml:space="preserve">, от городских сетей ОАО «ДГК», выполнена стальными водогазопроводными трубами. Верхняя разводка. </w:t>
            </w:r>
          </w:p>
        </w:tc>
      </w:tr>
      <w:tr w:rsidR="007370B2" w:rsidRPr="007370B2" w:rsidTr="00C028F6">
        <w:trPr>
          <w:trHeight w:val="406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7370B2" w:rsidRPr="007370B2" w:rsidTr="007370B2">
        <w:trPr>
          <w:trHeight w:val="443"/>
        </w:trPr>
        <w:tc>
          <w:tcPr>
            <w:tcW w:w="1438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7370B2" w:rsidRPr="007370B2" w:rsidTr="007370B2">
        <w:trPr>
          <w:trHeight w:val="405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7370B2" w:rsidRPr="007370B2" w:rsidTr="007370B2">
        <w:trPr>
          <w:trHeight w:val="420"/>
        </w:trPr>
        <w:tc>
          <w:tcPr>
            <w:tcW w:w="35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370B2" w:rsidRPr="007370B2" w:rsidRDefault="007370B2" w:rsidP="007370B2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370B2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BD67E9" w:rsidRPr="00BD67E9" w:rsidRDefault="00BD67E9" w:rsidP="00BD67E9">
      <w:pPr>
        <w:jc w:val="both"/>
      </w:pPr>
    </w:p>
    <w:tbl>
      <w:tblPr>
        <w:tblW w:w="15529" w:type="dxa"/>
        <w:tblInd w:w="93" w:type="dxa"/>
        <w:tblLook w:val="04A0" w:firstRow="1" w:lastRow="0" w:firstColumn="1" w:lastColumn="0" w:noHBand="0" w:noVBand="1"/>
      </w:tblPr>
      <w:tblGrid>
        <w:gridCol w:w="917"/>
        <w:gridCol w:w="2840"/>
        <w:gridCol w:w="112"/>
        <w:gridCol w:w="236"/>
        <w:gridCol w:w="2500"/>
        <w:gridCol w:w="498"/>
        <w:gridCol w:w="348"/>
        <w:gridCol w:w="7730"/>
        <w:gridCol w:w="222"/>
        <w:gridCol w:w="126"/>
      </w:tblGrid>
      <w:tr w:rsidR="00BD67E9" w:rsidRPr="00BD67E9" w:rsidTr="00202524">
        <w:trPr>
          <w:gridAfter w:val="2"/>
          <w:wAfter w:w="348" w:type="dxa"/>
          <w:trHeight w:val="3831"/>
        </w:trPr>
        <w:tc>
          <w:tcPr>
            <w:tcW w:w="1518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F86"/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Комиссия в составе:</w:t>
            </w:r>
          </w:p>
          <w:bookmarkEnd w:id="0"/>
          <w:p w:rsid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 xml:space="preserve">Главный инженер </w:t>
            </w:r>
            <w:r w:rsidR="00C028F6">
              <w:rPr>
                <w:rFonts w:eastAsia="Times New Roman"/>
                <w:color w:val="000000"/>
                <w:lang w:eastAsia="ru-RU"/>
              </w:rPr>
              <w:t xml:space="preserve">  «</w:t>
            </w:r>
            <w:r w:rsidRPr="00BD67E9">
              <w:rPr>
                <w:rFonts w:eastAsia="Times New Roman"/>
                <w:color w:val="000000"/>
                <w:lang w:eastAsia="ru-RU"/>
              </w:rPr>
              <w:t>УК СТАНДАРТ</w:t>
            </w:r>
            <w:r w:rsidR="00C028F6">
              <w:rPr>
                <w:rFonts w:eastAsia="Times New Roman"/>
                <w:color w:val="000000"/>
                <w:lang w:eastAsia="ru-RU"/>
              </w:rPr>
              <w:t>»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C028F6">
              <w:rPr>
                <w:rFonts w:eastAsia="Times New Roman"/>
                <w:color w:val="000000"/>
                <w:lang w:eastAsia="ru-RU"/>
              </w:rPr>
              <w:t xml:space="preserve">                               Цылев А.А.</w:t>
            </w:r>
          </w:p>
          <w:p w:rsid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Зам ген</w:t>
            </w:r>
            <w:r w:rsidR="00C028F6">
              <w:rPr>
                <w:rFonts w:eastAsia="Times New Roman"/>
                <w:color w:val="000000"/>
                <w:lang w:eastAsia="ru-RU"/>
              </w:rPr>
              <w:t>ерального директор</w:t>
            </w:r>
            <w:proofErr w:type="gramStart"/>
            <w:r w:rsidR="00C028F6">
              <w:rPr>
                <w:rFonts w:eastAsia="Times New Roman"/>
                <w:color w:val="000000"/>
                <w:lang w:eastAsia="ru-RU"/>
              </w:rPr>
              <w:t>а   ООО</w:t>
            </w:r>
            <w:proofErr w:type="gramEnd"/>
            <w:r w:rsidR="00C028F6">
              <w:rPr>
                <w:rFonts w:eastAsia="Times New Roman"/>
                <w:color w:val="000000"/>
                <w:lang w:eastAsia="ru-RU"/>
              </w:rPr>
              <w:t xml:space="preserve">  «УК СТАНДАРТ»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BD67E9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C028F6" w:rsidRDefault="00C028F6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="00BD67E9" w:rsidRPr="00BD67E9">
              <w:rPr>
                <w:rFonts w:eastAsia="Times New Roman"/>
                <w:color w:val="000000"/>
                <w:lang w:eastAsia="ru-RU"/>
              </w:rPr>
              <w:t>редставитель</w:t>
            </w:r>
            <w:r w:rsidR="00BD67E9">
              <w:rPr>
                <w:rFonts w:eastAsia="Times New Roman"/>
                <w:color w:val="000000"/>
                <w:lang w:eastAsia="ru-RU"/>
              </w:rPr>
              <w:t xml:space="preserve">   собственников помещений </w:t>
            </w:r>
          </w:p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="00C028F6"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</w:t>
            </w:r>
            <w:r w:rsidRPr="00BD67E9">
              <w:rPr>
                <w:rFonts w:eastAsia="Times New Roman"/>
                <w:color w:val="000000"/>
                <w:lang w:eastAsia="ru-RU"/>
              </w:rPr>
              <w:t>Стрельникова С.А.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</w:t>
            </w:r>
          </w:p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произвела общий (весенний) осмотр элементов общего имущества многоквартирного дома.</w:t>
            </w:r>
            <w:r>
              <w:t xml:space="preserve"> </w:t>
            </w:r>
            <w:r w:rsidR="00C028F6">
              <w:t xml:space="preserve">                                                    </w:t>
            </w:r>
            <w:r w:rsidRPr="00BD67E9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</w:p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>строительных конструкций и инженерного оборудования</w:t>
            </w:r>
          </w:p>
        </w:tc>
      </w:tr>
      <w:tr w:rsidR="00BD67E9" w:rsidRPr="00BD67E9" w:rsidTr="00202524">
        <w:trPr>
          <w:gridAfter w:val="2"/>
          <w:wAfter w:w="348" w:type="dxa"/>
          <w:trHeight w:val="2689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3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     ВСН 53-86 (р)</w:t>
            </w:r>
          </w:p>
        </w:tc>
        <w:tc>
          <w:tcPr>
            <w:tcW w:w="8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C028F6" w:rsidRPr="00BD67E9" w:rsidTr="00202524">
        <w:trPr>
          <w:gridAfter w:val="2"/>
          <w:wAfter w:w="348" w:type="dxa"/>
          <w:trHeight w:val="976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             Процент износа - 80%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r w:rsidRPr="00C028F6">
              <w:t>При визуальном осмотре дефекты не обнаружены.</w:t>
            </w:r>
          </w:p>
        </w:tc>
      </w:tr>
      <w:tr w:rsidR="00C028F6" w:rsidRPr="00BD67E9" w:rsidTr="00C028F6">
        <w:trPr>
          <w:gridAfter w:val="2"/>
          <w:wAfter w:w="348" w:type="dxa"/>
          <w:trHeight w:val="937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28F6" w:rsidRPr="00C028F6" w:rsidRDefault="00C028F6" w:rsidP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  Процент износа - 80%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r w:rsidRPr="00C028F6">
              <w:t>При визуальном осмотре дефекты не обнаружены.</w:t>
            </w:r>
          </w:p>
        </w:tc>
      </w:tr>
      <w:tr w:rsidR="00C028F6" w:rsidRPr="00BD67E9" w:rsidTr="00202524">
        <w:trPr>
          <w:gridAfter w:val="2"/>
          <w:wAfter w:w="348" w:type="dxa"/>
          <w:trHeight w:val="2039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Процент износа - 80%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Выветривание швов; ослабление кирпичной кладки стен, карниза, перемычек с выпадением отдельных кирпичей; высолы и следы увлажнения.  Ослабление кирпичной кладки стен, карниза, перемычек с выпадением отдельных кирпичей. Сквозные трещины в перемычках и под оконными проемами, выпадение кирпичей, незначительное отклонение от вертикали и выпучивание стен Глубина разрушения швов до 4 см на площади до 50 %</w:t>
            </w:r>
          </w:p>
        </w:tc>
      </w:tr>
      <w:tr w:rsidR="00C028F6" w:rsidRPr="00BD67E9" w:rsidTr="00202524">
        <w:trPr>
          <w:gridAfter w:val="2"/>
          <w:wAfter w:w="348" w:type="dxa"/>
          <w:trHeight w:val="977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Процент износа  - 80%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C028F6">
              <w:t>возможным</w:t>
            </w:r>
            <w:proofErr w:type="gramEnd"/>
          </w:p>
        </w:tc>
      </w:tr>
      <w:tr w:rsidR="00C028F6" w:rsidRPr="00BD67E9" w:rsidTr="00C028F6">
        <w:trPr>
          <w:gridAfter w:val="2"/>
          <w:wAfter w:w="348" w:type="dxa"/>
          <w:trHeight w:val="167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Аварийное</w:t>
            </w:r>
            <w:proofErr w:type="gramEnd"/>
            <w:r w:rsidRPr="00C028F6">
              <w:t xml:space="preserve">                        Процент износа - 80%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Выпучивание и отпадение штукатурки и листов местами, более 10 м</w:t>
            </w:r>
            <w:proofErr w:type="gramStart"/>
            <w:r w:rsidRPr="00C028F6">
              <w:t>2</w:t>
            </w:r>
            <w:proofErr w:type="gramEnd"/>
            <w:r w:rsidRPr="00C028F6">
              <w:t xml:space="preserve"> на площади до 5 %. Отпадение штукатурки и листов большими массивами на площади более 50 %, при простукивании легко отстает или разбирается руками. Массовые отслоения штукатурного слоя и листов, повреждение основания</w:t>
            </w:r>
          </w:p>
        </w:tc>
      </w:tr>
      <w:tr w:rsidR="00C028F6" w:rsidRPr="00BD67E9" w:rsidTr="00202524">
        <w:trPr>
          <w:gridAfter w:val="2"/>
          <w:wAfter w:w="348" w:type="dxa"/>
          <w:trHeight w:val="1978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Процент износа  - 80%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Выветривание швов; ослабление кирпичной кладки стен, карниза, перемычек с выпадением отдельных кирпичей; высолы и следы увлажнения.  Ослабление кирпичной кладки стен, карниза, перемычек с выпадением отдельных кирпичей. Сквозные трещины в перемычках и под оконными проемами, выпадение кирпичей, незначительное отклонение от вертикали и выпучивание стен Глубина разрушения швов до 4 см на площади до 50 %</w:t>
            </w:r>
          </w:p>
        </w:tc>
      </w:tr>
      <w:tr w:rsidR="00C028F6" w:rsidRPr="00BD67E9" w:rsidTr="00C028F6">
        <w:trPr>
          <w:gridAfter w:val="2"/>
          <w:wAfter w:w="348" w:type="dxa"/>
          <w:trHeight w:val="658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Работоспособное</w:t>
            </w:r>
            <w:proofErr w:type="gramEnd"/>
            <w:r w:rsidRPr="00C028F6">
              <w:t xml:space="preserve">   Процент износа 25 %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При визуальном осмотре дефекты не обнаружены.</w:t>
            </w:r>
          </w:p>
        </w:tc>
      </w:tr>
      <w:tr w:rsidR="00C028F6" w:rsidRPr="00BD67E9" w:rsidTr="00FF7353">
        <w:trPr>
          <w:gridAfter w:val="2"/>
          <w:wAfter w:w="348" w:type="dxa"/>
          <w:trHeight w:val="1669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Аварийное</w:t>
            </w:r>
            <w:proofErr w:type="gramEnd"/>
            <w:r w:rsidRPr="00C028F6">
              <w:t xml:space="preserve">                     Процент износа  - 80%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Глубокие трещины в местах сопряжений балок с несущими стенами, следы увлажнений. Глубокие трещины в перекрытии, наличие временных креплений в отдельных местах. Диагональные, продольные и поперечные трещины в перекрытии; заметный прогиб; временные подпорки; обнажение древесины балок; поражение гнилью и жучком</w:t>
            </w:r>
          </w:p>
        </w:tc>
      </w:tr>
      <w:tr w:rsidR="00C028F6" w:rsidRPr="00BD67E9" w:rsidTr="00202524">
        <w:trPr>
          <w:gridAfter w:val="2"/>
          <w:wAfter w:w="348" w:type="dxa"/>
          <w:trHeight w:val="984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             Процент износа  - 80%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Массовые разрушения покрытия и основания</w:t>
            </w:r>
          </w:p>
        </w:tc>
      </w:tr>
      <w:tr w:rsidR="00C028F6" w:rsidRPr="00BD67E9" w:rsidTr="00C028F6">
        <w:trPr>
          <w:gridAfter w:val="2"/>
          <w:wAfter w:w="348" w:type="dxa"/>
          <w:trHeight w:val="216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Аварийное</w:t>
            </w:r>
            <w:proofErr w:type="gramEnd"/>
            <w:r w:rsidRPr="00C028F6">
              <w:t xml:space="preserve">                       Процент износа  - 60%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Биологическое поражение конструкций крыши в местах регулярного увлажнения, скобы крепления конструкций крыши непригодны для дальнейшей эксплуатации, трещины в стойках и их неполное опирание на опорный брусок, увлажнение карниза и наружной стены. Поражение гнилью древесины мауэрлата, стропил; наличие дополнительных временных креплений стропильных ног; увлажнение древесины</w:t>
            </w:r>
          </w:p>
        </w:tc>
      </w:tr>
      <w:tr w:rsidR="00C028F6" w:rsidRPr="00BD67E9" w:rsidTr="00202524">
        <w:trPr>
          <w:gridAfter w:val="2"/>
          <w:wAfter w:w="348" w:type="dxa"/>
          <w:trHeight w:val="976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         Процент износа  - 80 %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Стирание поверхности в ходовых местах; выбоины до 0,5 м</w:t>
            </w:r>
            <w:proofErr w:type="gramStart"/>
            <w:r w:rsidRPr="00C028F6">
              <w:t>2</w:t>
            </w:r>
            <w:proofErr w:type="gramEnd"/>
            <w:r w:rsidRPr="00C028F6">
              <w:t xml:space="preserve"> на площади до 25 %». Отсутствие отдельных плиток, местами вздутия и отставание на площади от 20 до 50 %.</w:t>
            </w:r>
          </w:p>
        </w:tc>
      </w:tr>
      <w:tr w:rsidR="00C028F6" w:rsidRPr="00BD67E9" w:rsidTr="00202524">
        <w:trPr>
          <w:gridAfter w:val="2"/>
          <w:wAfter w:w="348" w:type="dxa"/>
          <w:trHeight w:val="894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Процент износа  - 70 %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C028F6">
              <w:t>возможным</w:t>
            </w:r>
            <w:proofErr w:type="gramEnd"/>
          </w:p>
        </w:tc>
      </w:tr>
      <w:tr w:rsidR="00C028F6" w:rsidRPr="00BD67E9" w:rsidTr="00202524">
        <w:trPr>
          <w:gridAfter w:val="2"/>
          <w:wAfter w:w="348" w:type="dxa"/>
          <w:trHeight w:val="99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Работоспособное</w:t>
            </w:r>
            <w:proofErr w:type="gramEnd"/>
            <w:r w:rsidRPr="00C028F6">
              <w:t xml:space="preserve">   Процент износа  - 20 %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При визуальном осмотре дефекты не обнаружены.</w:t>
            </w:r>
          </w:p>
        </w:tc>
      </w:tr>
      <w:tr w:rsidR="00C028F6" w:rsidRPr="00BD67E9" w:rsidTr="00C028F6">
        <w:trPr>
          <w:gridAfter w:val="2"/>
          <w:wAfter w:w="348" w:type="dxa"/>
          <w:trHeight w:val="619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Работоспособное</w:t>
            </w:r>
            <w:proofErr w:type="gramEnd"/>
            <w:r w:rsidRPr="00C028F6">
              <w:t xml:space="preserve">  Процент износа  - 30 %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При визуальном осмотре дефекты не обнаружены.</w:t>
            </w:r>
          </w:p>
        </w:tc>
      </w:tr>
      <w:tr w:rsidR="00C028F6" w:rsidRPr="00BD67E9" w:rsidTr="00202524">
        <w:trPr>
          <w:gridAfter w:val="2"/>
          <w:wAfter w:w="348" w:type="dxa"/>
          <w:trHeight w:val="98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Процент износа  - 80%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 xml:space="preserve">Трещины на ступенях, отдельные повреждения перил. Выбоины и сколы местами в ступенях. </w:t>
            </w:r>
          </w:p>
        </w:tc>
      </w:tr>
      <w:tr w:rsidR="00C028F6" w:rsidRPr="00BD67E9" w:rsidTr="00FF7353">
        <w:trPr>
          <w:gridAfter w:val="2"/>
          <w:wAfter w:w="348" w:type="dxa"/>
          <w:trHeight w:val="253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Процент износа  - 70%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Мелкие повреждения металлических обделок и ограждений, Следы увлажнения на нижней плоскости плиты и на участках стены, примыкающих к балкону (козырьку). Цементный пол и гидроизоляции местами повреждены. На нижней поверхности ржавые пятна, следы протечек. Протечки, разрушение защитного слоя, обнажение арматуры. Коррозия металлических несущих конструкций (консолей, кронштейнов, подвесок). Трещины в плитах</w:t>
            </w:r>
          </w:p>
        </w:tc>
      </w:tr>
      <w:tr w:rsidR="00C028F6" w:rsidRPr="00BD67E9" w:rsidTr="00C028F6">
        <w:trPr>
          <w:gridAfter w:val="2"/>
          <w:wAfter w:w="348" w:type="dxa"/>
          <w:trHeight w:val="194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Процент износа - 60 %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1 и 3 подъезды - дефе</w:t>
            </w:r>
            <w:r>
              <w:t>к</w:t>
            </w:r>
            <w:r w:rsidRPr="00C028F6">
              <w:t>ты отсутст</w:t>
            </w:r>
            <w:r>
              <w:t>вуют. 2 подъезд: окраска маслян</w:t>
            </w:r>
            <w:r w:rsidRPr="00C028F6">
              <w:t>ая - Потемнение и загрязнение окрасочного слоя, матовые пятна и потеки; окраска водными составами: окрасочный слой растрескался, потемнел и загрязнился, местами отслоения и вздутия; штукатурка: выпучивание или отпадение штукатурки и листов местами, менее 10 м</w:t>
            </w:r>
            <w:proofErr w:type="gramStart"/>
            <w:r w:rsidRPr="00C028F6">
              <w:rPr>
                <w:vertAlign w:val="superscript"/>
              </w:rPr>
              <w:t>2</w:t>
            </w:r>
            <w:proofErr w:type="gramEnd"/>
            <w:r w:rsidRPr="00C028F6">
              <w:t xml:space="preserve"> на площади до 25 %</w:t>
            </w:r>
          </w:p>
        </w:tc>
      </w:tr>
      <w:tr w:rsidR="00C028F6" w:rsidRPr="00BD67E9" w:rsidTr="00202524">
        <w:trPr>
          <w:gridAfter w:val="2"/>
          <w:wAfter w:w="348" w:type="dxa"/>
          <w:trHeight w:val="1987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Аварийное</w:t>
            </w:r>
            <w:proofErr w:type="gramEnd"/>
            <w:r w:rsidRPr="00C028F6">
              <w:t xml:space="preserve">                        Процент износа- 80%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Капельные течи, большое количество хомутов на стояках и в магистралях, следы их ремонта отдельными местами и выборочной заменой; значительное нарушение теплоизоляции стояков и   магистралей, коррозия трубопроводов магистралей и трубопроводов, Предельный срок эксплуатации магистральных стальных, черных  труб и радиаторов системы отопления истёк.</w:t>
            </w:r>
          </w:p>
        </w:tc>
      </w:tr>
      <w:tr w:rsidR="00C028F6" w:rsidRPr="00BD67E9" w:rsidTr="00202524">
        <w:trPr>
          <w:gridAfter w:val="2"/>
          <w:wAfter w:w="348" w:type="dxa"/>
          <w:trHeight w:val="697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 xml:space="preserve">Отсутствуют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 </w:t>
            </w:r>
          </w:p>
        </w:tc>
      </w:tr>
      <w:tr w:rsidR="00C028F6" w:rsidRPr="00BD67E9" w:rsidTr="00202524">
        <w:trPr>
          <w:gridAfter w:val="2"/>
          <w:wAfter w:w="348" w:type="dxa"/>
          <w:trHeight w:val="986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Отсутствуют.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 </w:t>
            </w:r>
          </w:p>
        </w:tc>
      </w:tr>
      <w:tr w:rsidR="00C028F6" w:rsidRPr="00BD67E9" w:rsidTr="00202524">
        <w:trPr>
          <w:gridAfter w:val="2"/>
          <w:wAfter w:w="348" w:type="dxa"/>
          <w:trHeight w:val="70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Отсутствует.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 </w:t>
            </w:r>
          </w:p>
        </w:tc>
      </w:tr>
      <w:tr w:rsidR="00C028F6" w:rsidRPr="00BD67E9" w:rsidTr="00FF7353">
        <w:trPr>
          <w:gridAfter w:val="2"/>
          <w:wAfter w:w="348" w:type="dxa"/>
          <w:trHeight w:val="197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Аварийное</w:t>
            </w:r>
            <w:proofErr w:type="gramEnd"/>
            <w:r w:rsidRPr="00C028F6">
              <w:t xml:space="preserve">                             Процент износа - 80% 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Водомерный узел отсутствует. Предельный срок эксплуатации магистральных стальных, черных и оцинкованных труб системы водоснабжения истёк.</w:t>
            </w:r>
          </w:p>
        </w:tc>
      </w:tr>
      <w:tr w:rsidR="00C028F6" w:rsidRPr="00BD67E9" w:rsidTr="00202524">
        <w:trPr>
          <w:gridAfter w:val="2"/>
          <w:wAfter w:w="348" w:type="dxa"/>
          <w:trHeight w:val="98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Отсутствуют</w:t>
            </w:r>
            <w:proofErr w:type="gramStart"/>
            <w:r w:rsidRPr="00C028F6">
              <w:t xml:space="preserve"> .</w:t>
            </w:r>
            <w:proofErr w:type="gramEnd"/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 </w:t>
            </w:r>
          </w:p>
        </w:tc>
      </w:tr>
      <w:tr w:rsidR="00C028F6" w:rsidRPr="00BD67E9" w:rsidTr="00FF7353">
        <w:trPr>
          <w:gridAfter w:val="2"/>
          <w:wAfter w:w="348" w:type="dxa"/>
          <w:trHeight w:val="197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Аварийное</w:t>
            </w:r>
            <w:proofErr w:type="gramEnd"/>
            <w:r w:rsidRPr="00C028F6">
              <w:t xml:space="preserve">                 Процент износа - 80% 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 xml:space="preserve"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Водомерный узел отсутствует. Предельный срок эксплуатации магистральных стальных, черных и оцинкованных труб системы водоснабжения истёк. </w:t>
            </w:r>
          </w:p>
        </w:tc>
      </w:tr>
      <w:tr w:rsidR="00C028F6" w:rsidRPr="00BD67E9" w:rsidTr="00202524">
        <w:trPr>
          <w:gridAfter w:val="2"/>
          <w:wAfter w:w="348" w:type="dxa"/>
          <w:trHeight w:val="98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 xml:space="preserve">Отсутствует 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 </w:t>
            </w:r>
          </w:p>
        </w:tc>
      </w:tr>
      <w:tr w:rsidR="00C028F6" w:rsidRPr="00BD67E9" w:rsidTr="00202524">
        <w:trPr>
          <w:gridAfter w:val="2"/>
          <w:wAfter w:w="348" w:type="dxa"/>
          <w:trHeight w:val="644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Отсутствует.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 </w:t>
            </w:r>
          </w:p>
        </w:tc>
      </w:tr>
      <w:tr w:rsidR="00C028F6" w:rsidRPr="00BD67E9" w:rsidTr="00202524">
        <w:trPr>
          <w:gridAfter w:val="2"/>
          <w:wAfter w:w="348" w:type="dxa"/>
          <w:trHeight w:val="103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Отсутствует.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r w:rsidRPr="00C028F6">
              <w:t> </w:t>
            </w:r>
          </w:p>
        </w:tc>
      </w:tr>
      <w:tr w:rsidR="00C028F6" w:rsidRPr="00BD67E9" w:rsidTr="00202524">
        <w:trPr>
          <w:gridAfter w:val="2"/>
          <w:wAfter w:w="348" w:type="dxa"/>
          <w:trHeight w:val="986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Ограниченно-работоспособное</w:t>
            </w:r>
            <w:proofErr w:type="gramEnd"/>
            <w:r w:rsidRPr="00C028F6">
              <w:t xml:space="preserve">     Процент износа  - 80%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Предельный срок эксплуатации чугунных трубопроводов истёк. Повреждения отдельных мест чугунных трубопроводов канализации.</w:t>
            </w:r>
          </w:p>
        </w:tc>
      </w:tr>
      <w:tr w:rsidR="00C028F6" w:rsidRPr="00BD67E9" w:rsidTr="00202524">
        <w:trPr>
          <w:gridAfter w:val="2"/>
          <w:wAfter w:w="348" w:type="dxa"/>
          <w:trHeight w:val="98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>
            <w:proofErr w:type="gramStart"/>
            <w:r w:rsidRPr="00C028F6">
              <w:t>Работоспособное</w:t>
            </w:r>
            <w:proofErr w:type="gramEnd"/>
            <w:r w:rsidRPr="00C028F6">
              <w:t xml:space="preserve">                                Процент износа  - 25%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C028F6" w:rsidRDefault="00C028F6" w:rsidP="00C028F6">
            <w:pPr>
              <w:jc w:val="both"/>
            </w:pPr>
            <w:r w:rsidRPr="00C028F6">
              <w:t>При визуальном осмотре дефекты не обнаружены.</w:t>
            </w:r>
          </w:p>
        </w:tc>
      </w:tr>
      <w:tr w:rsidR="00C028F6" w:rsidRPr="00BD67E9" w:rsidTr="000B5B32">
        <w:trPr>
          <w:gridAfter w:val="2"/>
          <w:wAfter w:w="348" w:type="dxa"/>
          <w:trHeight w:val="97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C028F6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BD67E9" w:rsidRPr="00BD67E9" w:rsidTr="00202524">
        <w:trPr>
          <w:gridAfter w:val="2"/>
          <w:wAfter w:w="348" w:type="dxa"/>
          <w:trHeight w:val="98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Состояние удовлетворительное  Процент износа -  80%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BD67E9" w:rsidRPr="00BD67E9" w:rsidTr="00202524">
        <w:trPr>
          <w:gridAfter w:val="2"/>
          <w:wAfter w:w="348" w:type="dxa"/>
          <w:trHeight w:val="418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 </w:t>
            </w:r>
          </w:p>
        </w:tc>
      </w:tr>
      <w:tr w:rsidR="00BD67E9" w:rsidRPr="00BD67E9" w:rsidTr="00202524">
        <w:trPr>
          <w:gridAfter w:val="2"/>
          <w:wAfter w:w="348" w:type="dxa"/>
          <w:trHeight w:val="709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 </w:t>
            </w:r>
          </w:p>
        </w:tc>
      </w:tr>
      <w:tr w:rsidR="00BD67E9" w:rsidRPr="00BD67E9" w:rsidTr="00FF7353">
        <w:trPr>
          <w:gridAfter w:val="2"/>
          <w:wAfter w:w="348" w:type="dxa"/>
          <w:trHeight w:val="97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 </w:t>
            </w:r>
          </w:p>
        </w:tc>
      </w:tr>
      <w:tr w:rsidR="00C028F6" w:rsidRPr="00BD67E9" w:rsidTr="00C028F6">
        <w:trPr>
          <w:gridAfter w:val="2"/>
          <w:wAfter w:w="348" w:type="dxa"/>
          <w:trHeight w:val="664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1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6" w:rsidRPr="00BD67E9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BD67E9">
              <w:rPr>
                <w:rFonts w:eastAsia="Times New Roman"/>
                <w:lang w:eastAsia="ru-RU"/>
              </w:rPr>
              <w:t>о ООО</w:t>
            </w:r>
            <w:proofErr w:type="gramEnd"/>
            <w:r w:rsidRPr="00BD67E9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  <w:p w:rsidR="00C028F6" w:rsidRPr="00BD67E9" w:rsidRDefault="00C028F6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 </w:t>
            </w:r>
          </w:p>
        </w:tc>
      </w:tr>
      <w:tr w:rsidR="00BD67E9" w:rsidRPr="00BD67E9" w:rsidTr="00202524">
        <w:trPr>
          <w:gridAfter w:val="2"/>
          <w:wAfter w:w="348" w:type="dxa"/>
          <w:trHeight w:val="86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> </w:t>
            </w:r>
          </w:p>
        </w:tc>
      </w:tr>
      <w:tr w:rsidR="00202524" w:rsidRPr="00BD67E9" w:rsidTr="00202524">
        <w:trPr>
          <w:gridAfter w:val="2"/>
          <w:wAfter w:w="348" w:type="dxa"/>
          <w:trHeight w:val="1955"/>
        </w:trPr>
        <w:tc>
          <w:tcPr>
            <w:tcW w:w="1518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02524" w:rsidRDefault="00202524" w:rsidP="00202524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202524" w:rsidRPr="00BD67E9" w:rsidRDefault="00202524" w:rsidP="00202524">
            <w:pPr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  <w:p w:rsidR="00202524" w:rsidRPr="00BD67E9" w:rsidRDefault="00202524" w:rsidP="00C028F6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 xml:space="preserve">На основании результатов общего (весеннего) осмотра комиссия считает, что здание многоквартирного дома по адресу:   г. Владивосток, ул. Борисенко, 19, находится в ограниченно-работоспособном состоянии. </w:t>
            </w:r>
            <w:bookmarkStart w:id="1" w:name="_GoBack"/>
            <w:bookmarkEnd w:id="1"/>
            <w:r w:rsidRPr="00BD67E9">
              <w:rPr>
                <w:rFonts w:eastAsia="Times New Roman"/>
                <w:color w:val="000000"/>
                <w:lang w:eastAsia="ru-RU"/>
              </w:rPr>
              <w:t>В 202</w:t>
            </w:r>
            <w:r w:rsidR="00C028F6">
              <w:rPr>
                <w:rFonts w:eastAsia="Times New Roman"/>
                <w:color w:val="000000"/>
                <w:lang w:eastAsia="ru-RU"/>
              </w:rPr>
              <w:t>2</w:t>
            </w:r>
            <w:r w:rsidRPr="00BD67E9">
              <w:rPr>
                <w:rFonts w:eastAsia="Times New Roman"/>
                <w:color w:val="000000"/>
                <w:lang w:eastAsia="ru-RU"/>
              </w:rPr>
              <w:t xml:space="preserve"> году необходимо проведение следующих работ:</w:t>
            </w:r>
          </w:p>
        </w:tc>
      </w:tr>
      <w:tr w:rsidR="00BD67E9" w:rsidRPr="00BD67E9" w:rsidTr="00202524">
        <w:trPr>
          <w:gridAfter w:val="2"/>
          <w:wAfter w:w="348" w:type="dxa"/>
          <w:trHeight w:val="665"/>
        </w:trPr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D67E9" w:rsidRPr="00BD67E9" w:rsidRDefault="00BD67E9" w:rsidP="00BD67E9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142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D67E9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BD67E9" w:rsidRPr="00BD67E9" w:rsidTr="00C028F6">
        <w:trPr>
          <w:gridAfter w:val="2"/>
          <w:wAfter w:w="348" w:type="dxa"/>
          <w:trHeight w:val="46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1424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 xml:space="preserve">Оконные заполнения. Дверные заполнения.                                                                                                         </w:t>
            </w:r>
          </w:p>
        </w:tc>
      </w:tr>
      <w:tr w:rsidR="00BD67E9" w:rsidRPr="00BD67E9" w:rsidTr="00202524">
        <w:trPr>
          <w:gridAfter w:val="2"/>
          <w:wAfter w:w="348" w:type="dxa"/>
          <w:trHeight w:val="1508"/>
        </w:trPr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lang w:eastAsia="ru-RU"/>
              </w:rPr>
            </w:pPr>
            <w:r w:rsidRPr="00BD67E9">
              <w:rPr>
                <w:rFonts w:eastAsia="Times New Roman"/>
                <w:lang w:eastAsia="ru-RU"/>
              </w:rPr>
              <w:t xml:space="preserve">Стены наружные Фасад Несущие и ограждающие конструкции Водостоки Перекрытия Система отопления Элеваторные узлы системы отопления Система горячего водоснабжения.   Система холодного водоснабжения Общедомовые узлы учета потребления ХВС Система </w:t>
            </w:r>
            <w:proofErr w:type="gramStart"/>
            <w:r w:rsidRPr="00BD67E9">
              <w:rPr>
                <w:rFonts w:eastAsia="Times New Roman"/>
                <w:lang w:eastAsia="ru-RU"/>
              </w:rPr>
              <w:t>канализации</w:t>
            </w:r>
            <w:proofErr w:type="gramEnd"/>
            <w:r w:rsidRPr="00BD67E9">
              <w:rPr>
                <w:rFonts w:eastAsia="Times New Roman"/>
                <w:lang w:eastAsia="ru-RU"/>
              </w:rPr>
              <w:t xml:space="preserve"> Автоматизированные тепловые пункты Общедомовые узлы учета потребления тепловой энергии Общие коридоры и тамбуры (2-ой подъезд)      </w:t>
            </w:r>
          </w:p>
        </w:tc>
      </w:tr>
      <w:tr w:rsidR="00202524" w:rsidRPr="00BD67E9" w:rsidTr="00202524">
        <w:trPr>
          <w:gridAfter w:val="2"/>
          <w:wAfter w:w="348" w:type="dxa"/>
          <w:trHeight w:val="950"/>
        </w:trPr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524" w:rsidRPr="00BD67E9" w:rsidRDefault="00202524" w:rsidP="00BD67E9">
            <w:pPr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524" w:rsidRPr="00BD67E9" w:rsidRDefault="00202524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42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524" w:rsidRPr="00BD67E9" w:rsidRDefault="00202524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После проведения капитальных ремонтов фасада, кровли, перекрытий, систем отопления, ГВС, ХВС, электроснабжения - проведение мероприятий по энергосбережению и энергоэффективности.</w:t>
            </w:r>
          </w:p>
        </w:tc>
      </w:tr>
      <w:tr w:rsidR="00202524" w:rsidRPr="00BD67E9" w:rsidTr="00202524">
        <w:trPr>
          <w:gridAfter w:val="2"/>
          <w:wAfter w:w="348" w:type="dxa"/>
          <w:trHeight w:val="769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524" w:rsidRDefault="00202524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202524" w:rsidRPr="00BD67E9" w:rsidRDefault="00202524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202524" w:rsidRPr="00BD67E9" w:rsidRDefault="00202524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</w:t>
            </w:r>
            <w:r w:rsidR="00C028F6">
              <w:rPr>
                <w:rFonts w:eastAsia="Times New Roman"/>
                <w:color w:val="000000"/>
                <w:lang w:eastAsia="ru-RU"/>
              </w:rPr>
              <w:t>Цылев А.А.</w:t>
            </w:r>
            <w:r w:rsidRPr="00BD67E9"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</w:tc>
      </w:tr>
      <w:tr w:rsidR="00BD67E9" w:rsidRPr="00BD67E9" w:rsidTr="00202524">
        <w:trPr>
          <w:trHeight w:val="40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E9" w:rsidRPr="00BD67E9" w:rsidRDefault="00BD67E9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02524" w:rsidRPr="00BD67E9" w:rsidTr="00202524">
        <w:trPr>
          <w:gridAfter w:val="2"/>
          <w:wAfter w:w="348" w:type="dxa"/>
          <w:trHeight w:val="99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524" w:rsidRPr="00BD67E9" w:rsidRDefault="00202524" w:rsidP="00BD67E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C028F6" w:rsidRDefault="00202524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 xml:space="preserve">Зам </w:t>
            </w:r>
            <w:r w:rsidR="00C028F6">
              <w:rPr>
                <w:rFonts w:eastAsia="Times New Roman"/>
                <w:color w:val="000000"/>
                <w:lang w:eastAsia="ru-RU"/>
              </w:rPr>
              <w:t>генерального директора</w:t>
            </w:r>
          </w:p>
          <w:p w:rsidR="00202524" w:rsidRPr="00BD67E9" w:rsidRDefault="00202524" w:rsidP="00C028F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D67E9">
              <w:rPr>
                <w:rFonts w:eastAsia="Times New Roman"/>
                <w:color w:val="000000"/>
                <w:lang w:eastAsia="ru-RU"/>
              </w:rPr>
              <w:t xml:space="preserve"> ООО 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  <w:r w:rsidR="00C028F6">
              <w:rPr>
                <w:rFonts w:eastAsia="Times New Roman"/>
                <w:color w:val="000000"/>
                <w:lang w:eastAsia="ru-RU"/>
              </w:rPr>
              <w:t xml:space="preserve">                                        </w:t>
            </w:r>
            <w:r w:rsidRPr="00BD67E9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</w:tc>
      </w:tr>
      <w:tr w:rsidR="00202524" w:rsidRPr="00BD67E9" w:rsidTr="00DA1F4E">
        <w:trPr>
          <w:gridAfter w:val="1"/>
          <w:wAfter w:w="126" w:type="dxa"/>
          <w:trHeight w:val="58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8F6" w:rsidRDefault="00202524" w:rsidP="0020252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Представитель </w:t>
            </w:r>
            <w:r w:rsidRPr="00BD67E9">
              <w:rPr>
                <w:rFonts w:eastAsia="Times New Roman"/>
                <w:color w:val="000000"/>
                <w:lang w:eastAsia="ru-RU"/>
              </w:rPr>
              <w:t xml:space="preserve"> собственников помещений: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  <w:p w:rsidR="00202524" w:rsidRPr="00BD67E9" w:rsidRDefault="00C028F6" w:rsidP="0020252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Председатель Совета МКД                              </w:t>
            </w:r>
            <w:r w:rsidR="00202524">
              <w:rPr>
                <w:rFonts w:eastAsia="Times New Roman"/>
                <w:color w:val="000000"/>
                <w:lang w:eastAsia="ru-RU"/>
              </w:rPr>
              <w:t xml:space="preserve">              </w:t>
            </w:r>
            <w:r w:rsidR="00202524" w:rsidRPr="00BD67E9">
              <w:rPr>
                <w:rFonts w:eastAsia="Times New Roman"/>
                <w:color w:val="000000"/>
                <w:lang w:eastAsia="ru-RU"/>
              </w:rPr>
              <w:t xml:space="preserve"> Стрельникова С.А                     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:rsidR="00202524" w:rsidRPr="00BD67E9" w:rsidRDefault="00202524" w:rsidP="00BD67E9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BD67E9" w:rsidRDefault="00BD67E9"/>
    <w:p w:rsidR="00BD67E9" w:rsidRDefault="00BD67E9"/>
    <w:p w:rsidR="00BD67E9" w:rsidRPr="007370B2" w:rsidRDefault="00BD67E9"/>
    <w:sectPr w:rsidR="00BD67E9" w:rsidRPr="007370B2" w:rsidSect="00202524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31"/>
    <w:rsid w:val="000C2D7B"/>
    <w:rsid w:val="001851B4"/>
    <w:rsid w:val="001A0131"/>
    <w:rsid w:val="00202524"/>
    <w:rsid w:val="00581D71"/>
    <w:rsid w:val="00736DC5"/>
    <w:rsid w:val="007370B2"/>
    <w:rsid w:val="00BD67E9"/>
    <w:rsid w:val="00C028F6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E321-E527-4945-B4CE-D940E8D2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2022-07-20T02:05:00Z</dcterms:created>
  <dcterms:modified xsi:type="dcterms:W3CDTF">2022-07-20T02:05:00Z</dcterms:modified>
</cp:coreProperties>
</file>