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9" w:type="dxa"/>
        <w:tblInd w:w="93" w:type="dxa"/>
        <w:tblLayout w:type="fixed"/>
        <w:tblLook w:val="04A0"/>
      </w:tblPr>
      <w:tblGrid>
        <w:gridCol w:w="1067"/>
        <w:gridCol w:w="747"/>
        <w:gridCol w:w="1910"/>
        <w:gridCol w:w="1087"/>
        <w:gridCol w:w="872"/>
        <w:gridCol w:w="1562"/>
        <w:gridCol w:w="1134"/>
        <w:gridCol w:w="1559"/>
        <w:gridCol w:w="1276"/>
        <w:gridCol w:w="968"/>
        <w:gridCol w:w="1035"/>
        <w:gridCol w:w="1862"/>
      </w:tblGrid>
      <w:tr w:rsidR="006159BE" w:rsidRPr="006159BE" w:rsidTr="00C700B6">
        <w:trPr>
          <w:trHeight w:val="1275"/>
        </w:trPr>
        <w:tc>
          <w:tcPr>
            <w:tcW w:w="15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BE" w:rsidRPr="006159BE" w:rsidRDefault="006159BE" w:rsidP="004A3F82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L55"/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 </w:t>
            </w:r>
            <w:r w:rsidR="009674D1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СЕЗОННОГО</w:t>
            </w: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(</w:t>
            </w:r>
            <w:bookmarkStart w:id="1" w:name="_GoBack"/>
            <w:bookmarkEnd w:id="1"/>
            <w:r w:rsidR="004A3F8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СЕННЕГО) ОСМОТРА ОБЩЕГО ИМУЩЕСТВА</w:t>
            </w:r>
            <w:r w:rsidR="007A78B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МНОГОКВАРТИРНОГО ДОМА, РАСПОЛОЖЕННОГО ПО АДРЕСУ: ул. Уткинская, 11</w:t>
            </w:r>
            <w:bookmarkEnd w:id="0"/>
          </w:p>
        </w:tc>
      </w:tr>
      <w:tr w:rsidR="006159BE" w:rsidRPr="006159BE" w:rsidTr="00C700B6">
        <w:trPr>
          <w:trHeight w:val="420"/>
        </w:trPr>
        <w:tc>
          <w:tcPr>
            <w:tcW w:w="15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4A3F8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г. Владивосток                                                                                                                          </w:t>
            </w:r>
            <w:r w:rsidR="00D4591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A3F8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августа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202</w:t>
            </w:r>
            <w:r w:rsidR="00D4591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 г.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       </w:t>
            </w:r>
          </w:p>
        </w:tc>
      </w:tr>
      <w:tr w:rsidR="006159BE" w:rsidRPr="006159BE" w:rsidTr="00C700B6">
        <w:trPr>
          <w:trHeight w:val="420"/>
        </w:trPr>
        <w:tc>
          <w:tcPr>
            <w:tcW w:w="150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BE" w:rsidRPr="006159BE" w:rsidRDefault="004A3F82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г.</w:t>
            </w:r>
            <w:r w:rsidR="006159BE"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ОБЩИЕ СВЕДЕНИЯ</w:t>
            </w:r>
          </w:p>
        </w:tc>
      </w:tr>
      <w:tr w:rsidR="006159BE" w:rsidRPr="006159BE" w:rsidTr="00C700B6">
        <w:trPr>
          <w:trHeight w:val="5513"/>
        </w:trPr>
        <w:tc>
          <w:tcPr>
            <w:tcW w:w="37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3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ООО «Управляющая компания СТАНДАРТ»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ИНН / КПП:  2537054082 / 253701001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ОГРН: 1082537004395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БИК: 040507705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(приёмная): 8(423) 253-69-87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(диспетчер): 8(423) 201-28-21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Кор/сч: 30101810900000000705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e-mail: ukstandart-dv@mail.ru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6159BE" w:rsidRPr="006159BE" w:rsidTr="00C700B6">
        <w:trPr>
          <w:trHeight w:val="480"/>
        </w:trPr>
        <w:tc>
          <w:tcPr>
            <w:tcW w:w="372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1. Тип МКД</w:t>
            </w:r>
          </w:p>
        </w:tc>
        <w:tc>
          <w:tcPr>
            <w:tcW w:w="11355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многоквартирный дом</w:t>
            </w:r>
          </w:p>
        </w:tc>
      </w:tr>
      <w:tr w:rsidR="006159BE" w:rsidRPr="006159BE" w:rsidTr="00C700B6">
        <w:trPr>
          <w:trHeight w:val="368"/>
        </w:trPr>
        <w:tc>
          <w:tcPr>
            <w:tcW w:w="372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355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159BE" w:rsidRPr="006159BE" w:rsidTr="00C700B6">
        <w:trPr>
          <w:trHeight w:val="780"/>
        </w:trPr>
        <w:tc>
          <w:tcPr>
            <w:tcW w:w="48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2. Год постройки (ввода в эксплуатацию)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1962</w:t>
            </w:r>
          </w:p>
        </w:tc>
        <w:tc>
          <w:tcPr>
            <w:tcW w:w="5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2017</w:t>
            </w:r>
          </w:p>
        </w:tc>
      </w:tr>
      <w:tr w:rsidR="006159BE" w:rsidRPr="006159BE" w:rsidTr="00C700B6">
        <w:trPr>
          <w:trHeight w:val="409"/>
        </w:trPr>
        <w:tc>
          <w:tcPr>
            <w:tcW w:w="15079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6159BE" w:rsidRPr="006159BE" w:rsidTr="00C700B6">
        <w:trPr>
          <w:trHeight w:val="405"/>
        </w:trPr>
        <w:tc>
          <w:tcPr>
            <w:tcW w:w="724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Программы капитального ремонта: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по видам работ</w:t>
            </w:r>
          </w:p>
        </w:tc>
      </w:tr>
      <w:tr w:rsidR="006159BE" w:rsidRPr="006159BE" w:rsidTr="00C700B6">
        <w:trPr>
          <w:trHeight w:val="810"/>
        </w:trPr>
        <w:tc>
          <w:tcPr>
            <w:tcW w:w="724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ind w:firstLine="33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4A3F82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электроснабжение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ГВС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ХВС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 другие      виды работ</w:t>
            </w:r>
          </w:p>
        </w:tc>
      </w:tr>
      <w:tr w:rsidR="006159BE" w:rsidRPr="006159BE" w:rsidTr="00C700B6">
        <w:trPr>
          <w:trHeight w:val="405"/>
        </w:trPr>
        <w:tc>
          <w:tcPr>
            <w:tcW w:w="72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средств всего,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ind w:left="-108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  <w:r w:rsidR="00C700B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715</w:t>
            </w:r>
            <w:r w:rsidR="00C700B6" w:rsidRPr="00C700B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379.53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159BE" w:rsidRPr="006159BE" w:rsidTr="00C700B6">
        <w:trPr>
          <w:trHeight w:val="405"/>
        </w:trPr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том числе: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фондом ЖКХ,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субьектом РФ,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муниципалитетом,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20"/>
        </w:trPr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собственниками жилья,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ind w:left="-108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  <w:r w:rsidR="00C700B6" w:rsidRPr="00C700B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715379.53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C700B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336"/>
        </w:trPr>
        <w:tc>
          <w:tcPr>
            <w:tcW w:w="112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159BE" w:rsidRPr="006159BE" w:rsidTr="00C700B6">
        <w:trPr>
          <w:trHeight w:val="300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6. Характеристика объекта</w:t>
            </w:r>
          </w:p>
        </w:tc>
      </w:tr>
      <w:tr w:rsidR="006159BE" w:rsidRPr="006159BE" w:rsidTr="00C700B6">
        <w:trPr>
          <w:trHeight w:val="82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износ, %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этажность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подъездов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квартир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40</w:t>
            </w:r>
          </w:p>
        </w:tc>
      </w:tr>
      <w:tr w:rsidR="006159BE" w:rsidRPr="006159BE" w:rsidTr="00C700B6">
        <w:trPr>
          <w:trHeight w:val="368"/>
        </w:trPr>
        <w:tc>
          <w:tcPr>
            <w:tcW w:w="18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дома, кв.м.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2 439,52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жилых помещений, кв.м.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1554.42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нежилых помещений, кв.м.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мест общего пользования, кв.м.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894.52</w:t>
            </w:r>
          </w:p>
        </w:tc>
      </w:tr>
      <w:tr w:rsidR="006159BE" w:rsidRPr="006159BE" w:rsidTr="00C700B6">
        <w:trPr>
          <w:trHeight w:val="1442"/>
        </w:trPr>
        <w:tc>
          <w:tcPr>
            <w:tcW w:w="1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159BE" w:rsidRPr="006159BE" w:rsidTr="00C700B6">
        <w:trPr>
          <w:trHeight w:val="405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7. Инженерное оборудование</w:t>
            </w:r>
          </w:p>
        </w:tc>
      </w:tr>
      <w:tr w:rsidR="006159BE" w:rsidRPr="006159BE" w:rsidTr="00C700B6">
        <w:trPr>
          <w:trHeight w:val="671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количество, шт.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наличие общедомовых приборов учета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примечание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пункт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водомерный узел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водопроводный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электрический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газовый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АППЗ и ДУ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42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лифты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6159BE" w:rsidRPr="006159BE" w:rsidTr="00C700B6">
        <w:trPr>
          <w:trHeight w:val="552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8. Описание основных конструктивных элементов</w:t>
            </w:r>
          </w:p>
        </w:tc>
      </w:tr>
      <w:tr w:rsidR="006159BE" w:rsidRPr="006159BE" w:rsidTr="00C700B6">
        <w:trPr>
          <w:trHeight w:val="694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элемента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площадь, кв.м.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6159BE" w:rsidRPr="006159BE" w:rsidTr="00C700B6">
        <w:trPr>
          <w:trHeight w:val="1087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427.32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Крыша чердачного типа по деревянным стропилам. Кровля - из железных листов. Утеплитель – керамзит. Водосток наружный, организованный.</w:t>
            </w:r>
          </w:p>
        </w:tc>
      </w:tr>
      <w:tr w:rsidR="006159BE" w:rsidRPr="006159BE" w:rsidTr="00C700B6">
        <w:trPr>
          <w:trHeight w:val="529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 (фасад)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1329.65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Кирпичная кладка на цементно-песчаном растворе</w:t>
            </w:r>
          </w:p>
        </w:tc>
      </w:tr>
      <w:tr w:rsidR="006159BE" w:rsidRPr="006159BE" w:rsidTr="00C700B6">
        <w:trPr>
          <w:trHeight w:val="43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349.44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Кирпичная кладка на цементно-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счаном растворе.</w:t>
            </w:r>
          </w:p>
        </w:tc>
      </w:tr>
      <w:tr w:rsidR="006159BE" w:rsidRPr="006159BE" w:rsidTr="00C700B6">
        <w:trPr>
          <w:trHeight w:val="1131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дверные заполнения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16.00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Входные двери - металлические, оборудованы домофоном. Тамбурные двери – деревянные. Двери выходов на кровлю, входа в подвал, деревянные, облицованы металлом.  </w:t>
            </w:r>
          </w:p>
        </w:tc>
      </w:tr>
      <w:tr w:rsidR="006159BE" w:rsidRPr="006159BE" w:rsidTr="00C700B6">
        <w:trPr>
          <w:trHeight w:val="41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8.0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пластиковые</w:t>
            </w:r>
          </w:p>
        </w:tc>
      </w:tr>
      <w:tr w:rsidR="006159BE" w:rsidRPr="006159BE" w:rsidTr="00C700B6">
        <w:trPr>
          <w:trHeight w:val="416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2 563.92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сборные многопустотные железобетонные плиты</w:t>
            </w:r>
          </w:p>
        </w:tc>
      </w:tr>
      <w:tr w:rsidR="006159BE" w:rsidRPr="006159BE" w:rsidTr="00C700B6">
        <w:trPr>
          <w:trHeight w:val="1542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лестницы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118.0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 из железобетонных сборных конструкций с опиранием на межэтажные перекрытия.  Ограждения – металлические с креплением через закладные детали. Деревянные поручни.</w:t>
            </w:r>
          </w:p>
        </w:tc>
      </w:tr>
      <w:tr w:rsidR="006159BE" w:rsidRPr="006159BE" w:rsidTr="00C700B6">
        <w:trPr>
          <w:trHeight w:val="416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79.36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Ленточный из железобетонных блоков.</w:t>
            </w:r>
          </w:p>
        </w:tc>
      </w:tr>
      <w:tr w:rsidR="006159BE" w:rsidRPr="006159BE" w:rsidTr="00C700B6">
        <w:trPr>
          <w:trHeight w:val="421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подвал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349.2</w:t>
            </w:r>
          </w:p>
        </w:tc>
        <w:tc>
          <w:tcPr>
            <w:tcW w:w="93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– фундаментные блоки. Пол - земляной.</w:t>
            </w:r>
          </w:p>
        </w:tc>
      </w:tr>
      <w:tr w:rsidR="006159BE" w:rsidRPr="006159BE" w:rsidTr="00C700B6">
        <w:trPr>
          <w:trHeight w:val="404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9. Описание внутренних инженерных систем</w:t>
            </w:r>
          </w:p>
        </w:tc>
      </w:tr>
      <w:tr w:rsidR="006159BE" w:rsidRPr="006159BE" w:rsidTr="00C700B6">
        <w:trPr>
          <w:trHeight w:val="406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наименование системы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6159BE" w:rsidRPr="006159BE" w:rsidTr="00C700B6">
        <w:trPr>
          <w:trHeight w:val="4813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электроснабжение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9674D1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Централизованное, от городских сетей МУПВ «ВПЭС». Система электроснабжения выполнена централизованного типа от городских электросетей. Электропитание осуществляется подземным способом по кабельной линии 380/220В. Ввод силового кабеля в здание выполнен по оси 1 м/о А-Б в подвальном помещении. Распределительный шкаф ВРУ расположен в подвальном помещении м/о 2-3/А-Б. Разводка системы электроснабжения от ВРУ до стояков в подвальном помещении проложена по стенам здания и частично заштукатурена Индивидуальные счетчики электроэнергии установлены на каждом этаже здания в жилых помещениях. К счетчикам силовые кабели проложены в каналах, устроенных</w:t>
            </w:r>
            <w:r w:rsidR="009674D1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кирпичной кладке. Групповая сеть выполнена скрытой, под слоем штукатурного слоя.</w:t>
            </w:r>
            <w:r w:rsidR="009674D1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Напряжение в сети рабочего освещения 220В. Установлен измерительный комплекс</w:t>
            </w:r>
            <w:r w:rsidR="00D4591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A3F8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(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собственность МУПВ "ВПЭС") </w:t>
            </w:r>
          </w:p>
        </w:tc>
      </w:tr>
      <w:tr w:rsidR="006159BE" w:rsidRPr="006159BE" w:rsidTr="00C700B6">
        <w:trPr>
          <w:trHeight w:val="757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горячее водоснабжение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D4591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От водоводяного бойлера. Выполнена стальными  водогазопроводными трубами. </w:t>
            </w:r>
          </w:p>
        </w:tc>
      </w:tr>
      <w:tr w:rsidR="006159BE" w:rsidRPr="006159BE" w:rsidTr="00C700B6">
        <w:trPr>
          <w:trHeight w:val="698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холодное водоснабжение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Централизованная, от сетей КГУП «Приморский водоканал».  Выполнена стальными водогазопроводными трубами. </w:t>
            </w:r>
          </w:p>
        </w:tc>
      </w:tr>
      <w:tr w:rsidR="006159BE" w:rsidRPr="006159BE" w:rsidTr="00C700B6">
        <w:trPr>
          <w:trHeight w:val="66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водоотведение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Централизованная, выпуск в городские сети КГУП «Приморский водоканал», выполнена чугунными  трубами. </w:t>
            </w:r>
          </w:p>
        </w:tc>
      </w:tr>
      <w:tr w:rsidR="006159BE" w:rsidRPr="006159BE" w:rsidTr="00C700B6">
        <w:trPr>
          <w:trHeight w:val="1058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отопление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Централизованная, от сетей МУПВ «ВПЭС».  Выполнена стальными           водогазопроводными трубами. Верхняя разводка. В местах общего пользования до 5 этажа установлены отопительные приборы. </w:t>
            </w:r>
          </w:p>
        </w:tc>
      </w:tr>
      <w:tr w:rsidR="006159BE" w:rsidRPr="006159BE" w:rsidTr="00C700B6">
        <w:trPr>
          <w:trHeight w:val="366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АППЗ и ДУ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Отсутствуют.</w:t>
            </w:r>
          </w:p>
        </w:tc>
      </w:tr>
      <w:tr w:rsidR="006159BE" w:rsidRPr="006159BE" w:rsidTr="00C700B6">
        <w:trPr>
          <w:trHeight w:val="405"/>
        </w:trPr>
        <w:tc>
          <w:tcPr>
            <w:tcW w:w="1507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10. Источники: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теплоснабжения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ОА "ДГК"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энергоснабжения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ПАО "ДЭК"</w:t>
            </w:r>
          </w:p>
        </w:tc>
      </w:tr>
      <w:tr w:rsidR="006159BE" w:rsidRPr="006159BE" w:rsidTr="00C700B6">
        <w:trPr>
          <w:trHeight w:val="405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водоснабжения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КГУП "Приморский водоканал"</w:t>
            </w:r>
          </w:p>
        </w:tc>
      </w:tr>
      <w:tr w:rsidR="006159BE" w:rsidRPr="006159BE" w:rsidTr="00C700B6">
        <w:trPr>
          <w:trHeight w:val="42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газоснабжения</w:t>
            </w:r>
          </w:p>
        </w:tc>
        <w:tc>
          <w:tcPr>
            <w:tcW w:w="113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</w:tbl>
    <w:p w:rsidR="001851B4" w:rsidRDefault="001851B4"/>
    <w:p w:rsidR="006159BE" w:rsidRDefault="006159BE"/>
    <w:tbl>
      <w:tblPr>
        <w:tblW w:w="14899" w:type="dxa"/>
        <w:tblInd w:w="93" w:type="dxa"/>
        <w:tblLayout w:type="fixed"/>
        <w:tblLook w:val="04A0"/>
      </w:tblPr>
      <w:tblGrid>
        <w:gridCol w:w="890"/>
        <w:gridCol w:w="3214"/>
        <w:gridCol w:w="3991"/>
        <w:gridCol w:w="6804"/>
      </w:tblGrid>
      <w:tr w:rsidR="006159BE" w:rsidRPr="006159BE" w:rsidTr="006159BE">
        <w:trPr>
          <w:trHeight w:val="4331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159BE" w:rsidRPr="006159BE" w:rsidRDefault="006159BE" w:rsidP="006159BE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2" w:name="RANGE!A1:G53"/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Комиссия в составе:</w:t>
            </w:r>
          </w:p>
          <w:bookmarkEnd w:id="2"/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комиссии:</w:t>
            </w:r>
          </w:p>
          <w:p w:rsidR="006159BE" w:rsidRPr="006159BE" w:rsidRDefault="00D4591B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И.о. г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лавн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ого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инженер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 </w:t>
            </w:r>
            <w:r w:rsidR="004641F8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«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УК СТАНДАРТ</w:t>
            </w:r>
            <w:r w:rsidR="004641F8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»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Бондаренко Е.В.</w:t>
            </w:r>
          </w:p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Члены комиссии:</w:t>
            </w:r>
          </w:p>
          <w:p w:rsidR="006159BE" w:rsidRPr="006159BE" w:rsidRDefault="00D4591B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Инженер ПТО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 "УК СТАНДАРТ"</w:t>
            </w:r>
            <w:r w:rsid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6159BE"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Климовский А.Д.</w:t>
            </w:r>
          </w:p>
          <w:p w:rsid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Представитель собственников помещений: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 Совета МКД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</w:p>
          <w:p w:rsidR="006159BE" w:rsidRPr="006159BE" w:rsidRDefault="006159BE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произвела </w:t>
            </w:r>
            <w:r w:rsidR="009674D1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сезонный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4A3F8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сенний) осмотр элементов общего имущества многоквартирного дома.                                                          При осмотре установлено следующее:</w:t>
            </w:r>
          </w:p>
          <w:p w:rsid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6159BE" w:rsidRPr="006159BE" w:rsidRDefault="006159BE" w:rsidP="006159BE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РЕЗУЛЬТАТЫ ОСМОТРА      КОНСТРУКЦИЙ И ИНЖЕНЕРНОГО ОБОРУДОВАНИЯ</w:t>
            </w:r>
          </w:p>
        </w:tc>
      </w:tr>
      <w:tr w:rsidR="006159BE" w:rsidRPr="006159BE" w:rsidTr="006159BE">
        <w:trPr>
          <w:trHeight w:val="2085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9BE" w:rsidRPr="006159BE" w:rsidRDefault="006159BE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Дефекты, выявленные при осмотре</w:t>
            </w:r>
          </w:p>
        </w:tc>
      </w:tr>
      <w:tr w:rsidR="00A2245A" w:rsidRPr="006159BE" w:rsidTr="004A3F82">
        <w:trPr>
          <w:trHeight w:val="26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3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      Процент износа - 75%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 w:rsidP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Трещины, частичное разрушение блоков (до арматуры),</w:t>
            </w:r>
            <w:r>
              <w:rPr>
                <w:sz w:val="32"/>
                <w:szCs w:val="32"/>
              </w:rPr>
              <w:br/>
              <w:t>выщелачивание раствора из швов между блоками, следы увлажнения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lastRenderedPageBreak/>
              <w:t>цоколя и стен подвала</w:t>
            </w:r>
          </w:p>
        </w:tc>
      </w:tr>
      <w:tr w:rsidR="00A2245A" w:rsidRPr="006159BE" w:rsidTr="006159BE">
        <w:trPr>
          <w:trHeight w:val="112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Цоколь (подвал)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      Процент износа - 75%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Трещины, частичное разрушение</w:t>
            </w:r>
            <w:r w:rsidR="004A3F8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блоков (до арматуры),</w:t>
            </w:r>
            <w:r>
              <w:rPr>
                <w:sz w:val="32"/>
                <w:szCs w:val="32"/>
              </w:rPr>
              <w:br/>
              <w:t>выщелачивание раствора из швов между блоками, следы увлажнения</w:t>
            </w:r>
            <w:r>
              <w:rPr>
                <w:sz w:val="32"/>
                <w:szCs w:val="32"/>
              </w:rPr>
              <w:br/>
              <w:t>цоколя и стен подвала</w:t>
            </w:r>
          </w:p>
        </w:tc>
      </w:tr>
      <w:tr w:rsidR="00A2245A" w:rsidRPr="006159BE" w:rsidTr="006159BE">
        <w:trPr>
          <w:trHeight w:val="13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Стены наружные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      Процент износа - 80%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Выветривание швов; ослабление кирпичной кладки. Ширина трещин до 2 мм, разрушение швов на глубину до 1 см на площади до 10 %</w:t>
            </w:r>
          </w:p>
        </w:tc>
      </w:tr>
      <w:tr w:rsidR="00A2245A" w:rsidRPr="006159BE" w:rsidTr="00A2245A">
        <w:trPr>
          <w:trHeight w:val="77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      Процент износа - 65%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Провести осмотр в полном объёме не представилось возможным</w:t>
            </w:r>
          </w:p>
        </w:tc>
      </w:tr>
      <w:tr w:rsidR="00A2245A" w:rsidRPr="006159BE" w:rsidTr="006159BE">
        <w:trPr>
          <w:trHeight w:val="107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      Процент износа - 80%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Выветривание швов; ослабление кирпичной кладки. Ширина трещин до 2 мм, разрушение швов на глубину до 1 см на площади до 10 %</w:t>
            </w:r>
          </w:p>
        </w:tc>
      </w:tr>
      <w:tr w:rsidR="00A2245A" w:rsidRPr="006159BE" w:rsidTr="006159BE">
        <w:trPr>
          <w:trHeight w:val="110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Несущие и ограждающие конструкции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Ограниченно-работоспособное      Процент износа - 80%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A2245A" w:rsidRPr="006159BE" w:rsidTr="006159BE">
        <w:trPr>
          <w:trHeight w:val="124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Водостоки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работоспособное      Процент износа  - 25%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7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работоспособное      Процент износа - 65%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Плита перекрытия в подвале - массовые сквозные продольные трещины на нижней стороне плите, отпадение защитного слоя нижней стороны плиты с обнаружением арматуры. Провести осмотр в полном объёме не представилось возможным</w:t>
            </w:r>
          </w:p>
        </w:tc>
      </w:tr>
      <w:tr w:rsidR="00A2245A" w:rsidRPr="006159BE" w:rsidTr="006159BE">
        <w:trPr>
          <w:trHeight w:val="112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Ограниченно-работоспособное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Массовые разрушения покрытия и основания</w:t>
            </w:r>
          </w:p>
        </w:tc>
      </w:tr>
      <w:tr w:rsidR="00A2245A" w:rsidRPr="006159BE" w:rsidTr="006159BE">
        <w:trPr>
          <w:trHeight w:val="98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работоспособное      Процент износа  - 50%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 w:rsidP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3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Полы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Ограниченно-работоспособное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Стирание поверхности в ходовых местах; выбоины до 0,5 м2 на площади до 25 %.Отсутствие отдельных плиток, местами вздутия и отставание на площади от 20 до 50 %.</w:t>
            </w:r>
          </w:p>
        </w:tc>
      </w:tr>
      <w:tr w:rsidR="00A2245A" w:rsidRPr="006159BE" w:rsidTr="006159BE">
        <w:trPr>
          <w:trHeight w:val="10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Перегородки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работоспособное      Процент износа  - 65%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08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Оконные </w:t>
            </w:r>
            <w:r w:rsidRPr="006159BE">
              <w:rPr>
                <w:rFonts w:eastAsia="Times New Roman"/>
                <w:sz w:val="32"/>
                <w:szCs w:val="32"/>
                <w:lang w:eastAsia="ru-RU"/>
              </w:rPr>
              <w:t xml:space="preserve"> заполнения 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работоспособное      Процент износа  - 30%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A2245A">
        <w:trPr>
          <w:trHeight w:val="72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Дверные </w:t>
            </w:r>
            <w:r w:rsidRPr="006159BE">
              <w:rPr>
                <w:rFonts w:eastAsia="Times New Roman"/>
                <w:sz w:val="32"/>
                <w:szCs w:val="32"/>
                <w:lang w:eastAsia="ru-RU"/>
              </w:rPr>
              <w:t xml:space="preserve"> заполнения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работоспособное      Процент износа  - 10%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14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Лестничные клетки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Ограниченно-работоспособное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Трещины на ступенях, местами отсутствие перил. Выбоины и сколы местами в ступенях.</w:t>
            </w:r>
          </w:p>
        </w:tc>
      </w:tr>
      <w:tr w:rsidR="00A2245A" w:rsidRPr="006159BE" w:rsidTr="006159BE">
        <w:trPr>
          <w:trHeight w:val="111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Балконы и лоджии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работоспособное      Процент износа  - 60%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6159BE">
        <w:trPr>
          <w:trHeight w:val="112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Общие коридоры и тамбуры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работоспособное      Процент износа  - 35%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A2245A">
        <w:trPr>
          <w:trHeight w:val="18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отопления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Ограниченно-работоспособное      Процент износа  - 00%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</w:t>
            </w:r>
          </w:p>
        </w:tc>
      </w:tr>
      <w:tr w:rsidR="00A2245A" w:rsidRPr="006159BE" w:rsidTr="006159BE">
        <w:trPr>
          <w:trHeight w:val="7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Автоматизированные тепловые пункты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113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154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Элеваторные узлы системы отопления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Ограниченно-работоспособное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способом,</w:t>
            </w:r>
          </w:p>
        </w:tc>
      </w:tr>
      <w:tr w:rsidR="00A2245A" w:rsidRPr="006159BE" w:rsidTr="006159BE">
        <w:trPr>
          <w:trHeight w:val="454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горячего водоснабжения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Ограниченно-работоспособное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</w:p>
        </w:tc>
      </w:tr>
      <w:tr w:rsidR="00A2245A" w:rsidRPr="006159BE" w:rsidTr="006159BE">
        <w:trPr>
          <w:trHeight w:val="107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</w:tr>
      <w:tr w:rsidR="00A2245A" w:rsidRPr="006159BE" w:rsidTr="006159BE">
        <w:trPr>
          <w:trHeight w:val="20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холодного водоснабжения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Ограниченно-работоспособное      Процент износа  - 60%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отдельные повреждения трубопроводов (свищи, течи); поражение коррозией отдельных участков трубопроводов;. Расстройство арматуры (до 40 %); следы ремонта трубопроводов (хомуты, заварка, замена отдельных участков); значительная коррозия трубопроводов </w:t>
            </w:r>
          </w:p>
        </w:tc>
      </w:tr>
      <w:tr w:rsidR="00A2245A" w:rsidRPr="006159BE" w:rsidTr="006159BE">
        <w:trPr>
          <w:trHeight w:val="98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71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газоснабжения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111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Отсутствуют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2245A" w:rsidRPr="006159BE" w:rsidTr="006159BE">
        <w:trPr>
          <w:trHeight w:val="111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канализации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Ограниченно-работоспособное      Процент износа  - 80%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 обоих выпусках – систематические засоры, предположительно – из-за отсутствия уклона. </w:t>
            </w:r>
          </w:p>
        </w:tc>
      </w:tr>
      <w:tr w:rsidR="00A2245A" w:rsidRPr="006159BE" w:rsidTr="006159BE">
        <w:trPr>
          <w:trHeight w:val="12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электроснабжения и освещения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Состояние удовлетворительное.   Процент износа  - 25%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A2245A" w:rsidRPr="006159BE" w:rsidTr="00E360FF">
        <w:trPr>
          <w:trHeight w:val="103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9674D1">
              <w:rPr>
                <w:rFonts w:eastAsia="Times New Roman"/>
                <w:sz w:val="32"/>
                <w:szCs w:val="32"/>
                <w:lang w:eastAsia="ru-RU"/>
              </w:rPr>
              <w:t xml:space="preserve"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</w:t>
            </w:r>
            <w:r w:rsidRPr="009674D1">
              <w:rPr>
                <w:rFonts w:eastAsia="Times New Roman"/>
                <w:sz w:val="32"/>
                <w:szCs w:val="32"/>
                <w:lang w:eastAsia="ru-RU"/>
              </w:rPr>
              <w:lastRenderedPageBreak/>
              <w:t>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 РФ от 29 июня 2020 г. № 950). Таким образом,  общедомовые приборы учёта электроэнергии выведены из состава общего имущества</w:t>
            </w:r>
          </w:p>
        </w:tc>
      </w:tr>
      <w:tr w:rsidR="00A2245A" w:rsidRPr="006159BE" w:rsidTr="006159BE">
        <w:trPr>
          <w:trHeight w:val="13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вентиляции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работоспособное      Процент износа  - 65%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Default="00A22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ВСН 53-86(р) отсутствуют данные о признаках дефектов, определяемых визуальным способом, для внутренней инженерной системы «вентиляция»</w:t>
            </w:r>
          </w:p>
        </w:tc>
      </w:tr>
      <w:tr w:rsidR="00A2245A" w:rsidRPr="006159BE" w:rsidTr="006159BE">
        <w:trPr>
          <w:trHeight w:val="38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6159BE">
        <w:trPr>
          <w:trHeight w:val="69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Система АППЗ и дымоудаления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6159BE">
        <w:trPr>
          <w:trHeight w:val="112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Внутренний пожарный водопровод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4A6510">
        <w:trPr>
          <w:trHeight w:val="112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устройство</w:t>
            </w:r>
          </w:p>
        </w:tc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 устройство ООО «УК СТАНДАРТ  не обслуживается</w:t>
            </w:r>
          </w:p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6159BE">
        <w:trPr>
          <w:trHeight w:val="76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Лифтовое оборудование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A2245A" w:rsidRPr="006159BE" w:rsidTr="006159BE">
        <w:trPr>
          <w:trHeight w:val="672"/>
        </w:trPr>
        <w:tc>
          <w:tcPr>
            <w:tcW w:w="1489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2245A" w:rsidRPr="006159BE" w:rsidRDefault="00A2245A" w:rsidP="004A3F82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Решение комиссии: 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На основании результатов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сезонного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4A3F82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сеннего) осмотра комиссия считает, что здание многоквартирного дома по адресу:   ул. Уткинская, 11 в г. Владивостоке,  находится в ограниченно-работоспособном состоянии. Необходимо проведение следующих работ:</w:t>
            </w:r>
          </w:p>
        </w:tc>
      </w:tr>
      <w:tr w:rsidR="00A2245A" w:rsidRPr="006159BE" w:rsidTr="00A2245A">
        <w:trPr>
          <w:trHeight w:val="615"/>
        </w:trPr>
        <w:tc>
          <w:tcPr>
            <w:tcW w:w="1489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A2245A" w:rsidRPr="006159BE" w:rsidTr="006159BE">
        <w:trPr>
          <w:trHeight w:val="4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45A" w:rsidRPr="006159BE" w:rsidRDefault="00A2245A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245A" w:rsidRPr="006159BE" w:rsidRDefault="00A2245A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Вид  ремонта </w:t>
            </w:r>
          </w:p>
        </w:tc>
        <w:tc>
          <w:tcPr>
            <w:tcW w:w="10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45A" w:rsidRPr="006159BE" w:rsidRDefault="00A2245A" w:rsidP="006159BE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A2245A" w:rsidRPr="006159BE" w:rsidTr="006159BE">
        <w:trPr>
          <w:trHeight w:val="41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Текущий ремонт</w:t>
            </w:r>
          </w:p>
        </w:tc>
        <w:tc>
          <w:tcPr>
            <w:tcW w:w="107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Дверные заполнения  Лестничные клетки </w:t>
            </w:r>
          </w:p>
        </w:tc>
      </w:tr>
      <w:tr w:rsidR="00A2245A" w:rsidRPr="006159BE" w:rsidTr="006159BE">
        <w:trPr>
          <w:trHeight w:val="148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Капитальный ремонт</w:t>
            </w:r>
          </w:p>
        </w:tc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Стены наружные Фасад. Несущие и ограждающие конструкции Полы Система отопления  Элеваторные узлы системы отопления Система горячего водоснабжения Система холодного водоснабжения Система канализации </w:t>
            </w:r>
          </w:p>
        </w:tc>
      </w:tr>
      <w:tr w:rsidR="00A2245A" w:rsidRPr="006159BE" w:rsidTr="006159BE">
        <w:trPr>
          <w:trHeight w:val="110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7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2245A" w:rsidRPr="006159BE" w:rsidRDefault="00A2245A" w:rsidP="006159BE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6159BE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Необходимо проведение мероприятий по энергосбережению и энергоэффективности</w:t>
            </w:r>
          </w:p>
        </w:tc>
      </w:tr>
    </w:tbl>
    <w:p w:rsidR="006159BE" w:rsidRDefault="006159BE"/>
    <w:p w:rsidR="006159BE" w:rsidRDefault="006159BE" w:rsidP="006159BE">
      <w:r>
        <w:t>Председатель комиссии:</w:t>
      </w:r>
    </w:p>
    <w:p w:rsidR="006159BE" w:rsidRDefault="00A2245A" w:rsidP="006159BE">
      <w:r>
        <w:t>И.о. г</w:t>
      </w:r>
      <w:r w:rsidR="006159BE">
        <w:t>лавн</w:t>
      </w:r>
      <w:r>
        <w:t>ого</w:t>
      </w:r>
      <w:r w:rsidR="006159BE">
        <w:t xml:space="preserve"> инженер</w:t>
      </w:r>
      <w:r>
        <w:t>а</w:t>
      </w:r>
      <w:r w:rsidR="006159BE">
        <w:t xml:space="preserve"> ООО "УК СТАНДАРТ"  </w:t>
      </w:r>
      <w:r>
        <w:t>Бондаренко Е.В.</w:t>
      </w:r>
    </w:p>
    <w:p w:rsidR="006159BE" w:rsidRDefault="006159BE" w:rsidP="006159BE">
      <w:r>
        <w:t>Члены комиссии:</w:t>
      </w:r>
    </w:p>
    <w:p w:rsidR="006159BE" w:rsidRDefault="00A2245A" w:rsidP="006159BE">
      <w:r>
        <w:t xml:space="preserve">Инженер ПТО </w:t>
      </w:r>
      <w:r w:rsidR="006159BE">
        <w:t xml:space="preserve"> ООО "УК СТАНДАРТ" Климовский А.Д.</w:t>
      </w:r>
    </w:p>
    <w:p w:rsidR="006159BE" w:rsidRDefault="006159BE" w:rsidP="006159BE">
      <w:r>
        <w:t xml:space="preserve">Представитель собственников помещений:  </w:t>
      </w:r>
    </w:p>
    <w:sectPr w:rsidR="006159BE" w:rsidSect="006159BE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compat/>
  <w:rsids>
    <w:rsidRoot w:val="00F172C0"/>
    <w:rsid w:val="000C2D7B"/>
    <w:rsid w:val="001851B4"/>
    <w:rsid w:val="004641F8"/>
    <w:rsid w:val="004A3F82"/>
    <w:rsid w:val="0056419E"/>
    <w:rsid w:val="00581D71"/>
    <w:rsid w:val="00612600"/>
    <w:rsid w:val="006159BE"/>
    <w:rsid w:val="00736DC5"/>
    <w:rsid w:val="007A78B7"/>
    <w:rsid w:val="00945665"/>
    <w:rsid w:val="009528F8"/>
    <w:rsid w:val="009674D1"/>
    <w:rsid w:val="00A2245A"/>
    <w:rsid w:val="00C700B6"/>
    <w:rsid w:val="00D4591B"/>
    <w:rsid w:val="00EB10FB"/>
    <w:rsid w:val="00F1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2023-08-15T00:56:00Z</dcterms:created>
  <dcterms:modified xsi:type="dcterms:W3CDTF">2023-08-15T00:57:00Z</dcterms:modified>
</cp:coreProperties>
</file>