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8" w:type="dxa"/>
        <w:tblInd w:w="93" w:type="dxa"/>
        <w:tblLook w:val="04A0" w:firstRow="1" w:lastRow="0" w:firstColumn="1" w:lastColumn="0" w:noHBand="0" w:noVBand="1"/>
      </w:tblPr>
      <w:tblGrid>
        <w:gridCol w:w="928"/>
        <w:gridCol w:w="278"/>
        <w:gridCol w:w="710"/>
        <w:gridCol w:w="1959"/>
        <w:gridCol w:w="222"/>
        <w:gridCol w:w="1004"/>
        <w:gridCol w:w="858"/>
        <w:gridCol w:w="1387"/>
        <w:gridCol w:w="559"/>
        <w:gridCol w:w="651"/>
        <w:gridCol w:w="849"/>
        <w:gridCol w:w="53"/>
        <w:gridCol w:w="1962"/>
        <w:gridCol w:w="896"/>
        <w:gridCol w:w="429"/>
        <w:gridCol w:w="528"/>
        <w:gridCol w:w="1484"/>
        <w:gridCol w:w="611"/>
      </w:tblGrid>
      <w:tr w:rsidR="0030165F" w:rsidRPr="00BA7E8B" w:rsidTr="002E6766">
        <w:trPr>
          <w:trHeight w:val="1635"/>
        </w:trPr>
        <w:tc>
          <w:tcPr>
            <w:tcW w:w="15368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9"/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  <w:bookmarkEnd w:id="0"/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ОБЩЕГО (ОСЕННЕГО) ОСМОТРА ОБЩЕГО ИМУЩЕСТВА</w:t>
            </w:r>
          </w:p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ул. Давыдова 33 "А"</w:t>
            </w:r>
          </w:p>
        </w:tc>
      </w:tr>
      <w:tr w:rsidR="00BA7E8B" w:rsidRPr="00BA7E8B" w:rsidTr="00EF19F8">
        <w:trPr>
          <w:trHeight w:val="420"/>
        </w:trPr>
        <w:tc>
          <w:tcPr>
            <w:tcW w:w="409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E8B" w:rsidRPr="00BA7E8B" w:rsidRDefault="00BA7E8B" w:rsidP="0020338C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24 мая 202</w:t>
            </w:r>
            <w:r w:rsidR="0020338C">
              <w:rPr>
                <w:rFonts w:eastAsia="Times New Roman"/>
                <w:color w:val="000000"/>
                <w:lang w:eastAsia="ru-RU"/>
              </w:rPr>
              <w:t>1</w:t>
            </w:r>
            <w:r w:rsidRPr="00BA7E8B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BA7E8B" w:rsidRPr="00BA7E8B" w:rsidTr="00EF19F8">
        <w:trPr>
          <w:trHeight w:val="368"/>
        </w:trPr>
        <w:tc>
          <w:tcPr>
            <w:tcW w:w="15368" w:type="dxa"/>
            <w:gridSpan w:val="1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BA7E8B" w:rsidRPr="00BA7E8B" w:rsidTr="00EF19F8">
        <w:trPr>
          <w:trHeight w:val="368"/>
        </w:trPr>
        <w:tc>
          <w:tcPr>
            <w:tcW w:w="15368" w:type="dxa"/>
            <w:gridSpan w:val="1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219"/>
        </w:trPr>
        <w:tc>
          <w:tcPr>
            <w:tcW w:w="409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Генеральный директор: Чернега Наталья Алексеевна</w:t>
            </w:r>
          </w:p>
        </w:tc>
      </w:tr>
      <w:tr w:rsidR="00BA7E8B" w:rsidRPr="00BA7E8B" w:rsidTr="00EF19F8">
        <w:trPr>
          <w:trHeight w:val="480"/>
        </w:trPr>
        <w:tc>
          <w:tcPr>
            <w:tcW w:w="40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27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BA7E8B" w:rsidRPr="00BA7E8B" w:rsidTr="00EF19F8">
        <w:trPr>
          <w:trHeight w:val="750"/>
        </w:trPr>
        <w:tc>
          <w:tcPr>
            <w:tcW w:w="5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2008</w:t>
            </w:r>
          </w:p>
        </w:tc>
        <w:tc>
          <w:tcPr>
            <w:tcW w:w="59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5368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BA7E8B" w:rsidRPr="00BA7E8B" w:rsidTr="00EF19F8">
        <w:trPr>
          <w:trHeight w:val="405"/>
        </w:trPr>
        <w:tc>
          <w:tcPr>
            <w:tcW w:w="7346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80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BA7E8B" w:rsidRPr="00BA7E8B" w:rsidTr="00EF19F8">
        <w:trPr>
          <w:trHeight w:val="560"/>
        </w:trPr>
        <w:tc>
          <w:tcPr>
            <w:tcW w:w="7346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BA7E8B" w:rsidRPr="00BA7E8B" w:rsidTr="00EF19F8">
        <w:trPr>
          <w:trHeight w:val="405"/>
        </w:trPr>
        <w:tc>
          <w:tcPr>
            <w:tcW w:w="734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lastRenderedPageBreak/>
              <w:t>Выделено сре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91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91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91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20"/>
        </w:trPr>
        <w:tc>
          <w:tcPr>
            <w:tcW w:w="191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0338C" w:rsidRPr="00BA7E8B" w:rsidTr="00EF19F8">
        <w:trPr>
          <w:trHeight w:val="348"/>
        </w:trPr>
        <w:tc>
          <w:tcPr>
            <w:tcW w:w="153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338C" w:rsidRPr="00BA7E8B" w:rsidRDefault="0020338C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</w:tr>
      <w:tr w:rsidR="00BA7E8B" w:rsidRPr="00BA7E8B" w:rsidTr="00EF19F8">
        <w:trPr>
          <w:trHeight w:val="300"/>
        </w:trPr>
        <w:tc>
          <w:tcPr>
            <w:tcW w:w="153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BA7E8B" w:rsidRPr="00BA7E8B" w:rsidTr="00EF19F8">
        <w:trPr>
          <w:trHeight w:val="627"/>
        </w:trPr>
        <w:tc>
          <w:tcPr>
            <w:tcW w:w="1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30165F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3</w:t>
            </w:r>
            <w:r w:rsidR="0030165F">
              <w:rPr>
                <w:rFonts w:eastAsia="Times New Roman"/>
                <w:color w:val="000000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8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9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BA7E8B" w:rsidRPr="00BA7E8B" w:rsidTr="00EF19F8">
        <w:trPr>
          <w:trHeight w:val="368"/>
        </w:trPr>
        <w:tc>
          <w:tcPr>
            <w:tcW w:w="19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дома,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5 295.8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3367.0</w:t>
            </w:r>
          </w:p>
        </w:tc>
        <w:tc>
          <w:tcPr>
            <w:tcW w:w="21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9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1928.8</w:t>
            </w:r>
          </w:p>
        </w:tc>
      </w:tr>
      <w:tr w:rsidR="00BA7E8B" w:rsidRPr="00BA7E8B" w:rsidTr="00EF19F8">
        <w:trPr>
          <w:trHeight w:val="1294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8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689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20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9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552"/>
        </w:trPr>
        <w:tc>
          <w:tcPr>
            <w:tcW w:w="15368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BA7E8B" w:rsidRPr="00BA7E8B" w:rsidTr="00EF19F8">
        <w:trPr>
          <w:trHeight w:val="552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proofErr w:type="spellStart"/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BA7E8B" w:rsidRPr="00BA7E8B" w:rsidTr="00EF19F8">
        <w:trPr>
          <w:trHeight w:val="1029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848.225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Крыша плоская, из сборных железобетонных панелей. Кровля рулонная. Водосток организованный, по ливневой канализации, </w:t>
            </w:r>
            <w:r>
              <w:rPr>
                <w:rFonts w:eastAsia="Times New Roman"/>
                <w:color w:val="000000"/>
                <w:lang w:eastAsia="ru-RU"/>
              </w:rPr>
              <w:t>расположенной внутри здания.</w:t>
            </w:r>
          </w:p>
        </w:tc>
      </w:tr>
      <w:tr w:rsidR="00BA7E8B" w:rsidRPr="00BA7E8B" w:rsidTr="00EF19F8">
        <w:trPr>
          <w:trHeight w:val="433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2 463.17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BA7E8B" w:rsidRPr="00BA7E8B" w:rsidTr="00EF19F8">
        <w:trPr>
          <w:trHeight w:val="45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BA7E8B" w:rsidRPr="00BA7E8B" w:rsidTr="00EF19F8">
        <w:trPr>
          <w:trHeight w:val="1016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20.00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Входные двери - металлические, оборудованы домофоном. Тамбурные двери – деревянные. Двери выходов на кровлю, входа в подвал, деревянные, облицованы металлом.</w:t>
            </w:r>
          </w:p>
        </w:tc>
      </w:tr>
      <w:tr w:rsidR="00BA7E8B" w:rsidRPr="00BA7E8B" w:rsidTr="00EF19F8">
        <w:trPr>
          <w:trHeight w:val="334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8.0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BA7E8B" w:rsidRPr="00BA7E8B" w:rsidTr="00EF19F8">
        <w:trPr>
          <w:trHeight w:val="268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5 937.58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сборные многопустотные железобетонные плиты</w:t>
            </w:r>
          </w:p>
        </w:tc>
      </w:tr>
      <w:tr w:rsidR="00BA7E8B" w:rsidRPr="00BA7E8B" w:rsidTr="00EF19F8">
        <w:trPr>
          <w:trHeight w:val="939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400.9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 xml:space="preserve">Выполнены из железобетонных сборных конструкций с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опиранием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на межэтажные перекрытия.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BA7E8B" w:rsidRPr="00BA7E8B" w:rsidTr="00EF19F8">
        <w:trPr>
          <w:trHeight w:val="372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149.15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из железобетонных блоков.</w:t>
            </w:r>
          </w:p>
        </w:tc>
      </w:tr>
      <w:tr w:rsidR="00BA7E8B" w:rsidRPr="00BA7E8B" w:rsidTr="00EF19F8">
        <w:trPr>
          <w:trHeight w:val="291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Техничекский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этаж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783.1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потолок и пол - плиты перекрытий, стены - железобетонные плиты</w:t>
            </w:r>
          </w:p>
        </w:tc>
      </w:tr>
      <w:tr w:rsidR="00BA7E8B" w:rsidRPr="00BA7E8B" w:rsidTr="00EF19F8">
        <w:trPr>
          <w:trHeight w:val="382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744.8</w:t>
            </w:r>
          </w:p>
        </w:tc>
        <w:tc>
          <w:tcPr>
            <w:tcW w:w="940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Стены – фундаментные блоки. Пол - земляной.</w:t>
            </w:r>
          </w:p>
        </w:tc>
      </w:tr>
      <w:tr w:rsidR="00BA7E8B" w:rsidRPr="00BA7E8B" w:rsidTr="00EF19F8">
        <w:trPr>
          <w:trHeight w:val="406"/>
        </w:trPr>
        <w:tc>
          <w:tcPr>
            <w:tcW w:w="15368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BA7E8B" w:rsidRPr="00BA7E8B" w:rsidTr="00EF19F8">
        <w:trPr>
          <w:trHeight w:val="266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BA7E8B" w:rsidRPr="00BA7E8B" w:rsidTr="00EF19F8">
        <w:trPr>
          <w:trHeight w:val="2970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электросетей. Электропитание осуществляется по кабельной линии 380/220В.  ВРУ расположено в отдельном помещении 1-го подъезда. На каждом этаже здания установлены поэтажные распределительные  щиты. Разводка системы электроснабжения от ВРУ к </w:t>
            </w:r>
            <w:proofErr w:type="spellStart"/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распредщитам</w:t>
            </w:r>
            <w:proofErr w:type="spellEnd"/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и групповая сеть выполнена скрытым способом в конструкциях внутренних стен. Напряжение в сети рабочего освещения 220В. Установлены 2 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измерительных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комплекса электроснабжения (собственность Оборонэнерго) в составе: 1) прибор учёта: ПСЧ-3ТА.07.112.2  № 12003030 ,  измерительный трансформатор тока:  ТТИ-А 150/5, 2) ПСЧ 3ТА.112.2 № 12000117, измерительный трансформатор тока ТТИ-а 150/5</w:t>
            </w:r>
          </w:p>
        </w:tc>
      </w:tr>
      <w:tr w:rsidR="00BA7E8B" w:rsidRPr="00BA7E8B" w:rsidTr="00EF19F8">
        <w:trPr>
          <w:trHeight w:val="971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, от сетей МУПВ "ВПЭС". Схема питания -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зависимая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.В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ыполнена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стальными   водогазопроводными трубами. Установлен прибор учёта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Multical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UF № 5169807/07</w:t>
            </w:r>
          </w:p>
        </w:tc>
      </w:tr>
      <w:tr w:rsidR="00BA7E8B" w:rsidRPr="00BA7E8B" w:rsidTr="00EF19F8">
        <w:trPr>
          <w:trHeight w:val="573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, от сетей КГУП «Приморский водоканал».  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BA7E8B" w:rsidRPr="00BA7E8B" w:rsidTr="00EF19F8">
        <w:trPr>
          <w:trHeight w:val="62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, выпуск в городские сети КГУП «Приморский водоканал», выполнена чугунными  трубами.</w:t>
            </w:r>
          </w:p>
        </w:tc>
      </w:tr>
      <w:tr w:rsidR="00BA7E8B" w:rsidRPr="00BA7E8B" w:rsidTr="00EF19F8">
        <w:trPr>
          <w:trHeight w:val="1244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стальными           водогазопроводными трубами. Верхняя разводка. В местах общего пользования  установлены отопительные приборы. Установлен прибор учёта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Multical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UF № 5169807/07</w:t>
            </w:r>
          </w:p>
        </w:tc>
      </w:tr>
      <w:tr w:rsidR="00BA7E8B" w:rsidRPr="00BA7E8B" w:rsidTr="00EF19F8">
        <w:trPr>
          <w:trHeight w:val="370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Отсутствуют.</w:t>
            </w:r>
          </w:p>
        </w:tc>
      </w:tr>
      <w:tr w:rsidR="00BA7E8B" w:rsidRPr="00BA7E8B" w:rsidTr="00EF19F8">
        <w:trPr>
          <w:trHeight w:val="405"/>
        </w:trPr>
        <w:tc>
          <w:tcPr>
            <w:tcW w:w="15368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BA7E8B" w:rsidRPr="00BA7E8B" w:rsidTr="00EF19F8">
        <w:trPr>
          <w:trHeight w:val="420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27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EF19F8" w:rsidRPr="00614635" w:rsidTr="00EF19F8">
        <w:trPr>
          <w:gridAfter w:val="1"/>
          <w:wAfter w:w="611" w:type="dxa"/>
          <w:trHeight w:val="2960"/>
        </w:trPr>
        <w:tc>
          <w:tcPr>
            <w:tcW w:w="14757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F19F8" w:rsidRPr="00614635" w:rsidRDefault="00EF19F8" w:rsidP="00EF19F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Комиссия в составе: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Председатель комиссии  </w:t>
            </w:r>
            <w:r w:rsidRPr="00614635">
              <w:rPr>
                <w:rFonts w:eastAsia="Times New Roman"/>
                <w:color w:val="000000"/>
                <w:lang w:eastAsia="ru-RU"/>
              </w:rPr>
              <w:t>Гл</w:t>
            </w:r>
            <w:r>
              <w:rPr>
                <w:rFonts w:eastAsia="Times New Roman"/>
                <w:color w:val="000000"/>
                <w:lang w:eastAsia="ru-RU"/>
              </w:rPr>
              <w:t xml:space="preserve">авный инженер ООО "УК СТАНДАРТ" </w:t>
            </w:r>
            <w:r w:rsidRPr="00614635">
              <w:rPr>
                <w:rFonts w:eastAsia="Times New Roman"/>
                <w:color w:val="000000"/>
                <w:lang w:eastAsia="ru-RU"/>
              </w:rPr>
              <w:t>Хренников А.С.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Члены комиссии: </w:t>
            </w:r>
            <w:r w:rsidRPr="00614635">
              <w:rPr>
                <w:rFonts w:eastAsia="Times New Roman"/>
                <w:color w:val="000000"/>
                <w:lang w:eastAsia="ru-RU"/>
              </w:rPr>
              <w:t>Заместитель генеральн</w:t>
            </w:r>
            <w:r>
              <w:rPr>
                <w:rFonts w:eastAsia="Times New Roman"/>
                <w:color w:val="000000"/>
                <w:lang w:eastAsia="ru-RU"/>
              </w:rPr>
              <w:t>ого директор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"УК СТАНДАРТ" </w:t>
            </w:r>
            <w:r w:rsidRPr="00614635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Представитель собственников помещений: Председатель  Совета МКД </w:t>
            </w:r>
            <w:r w:rsidRPr="00614635">
              <w:rPr>
                <w:rFonts w:eastAsia="Times New Roman"/>
                <w:color w:val="000000"/>
                <w:lang w:eastAsia="ru-RU"/>
              </w:rPr>
              <w:t>Воронов А.А.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произвела общий (весенний) осмотр элементов общего имущества многоквартирного дома.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</w:p>
          <w:p w:rsidR="00EF19F8" w:rsidRPr="00614635" w:rsidRDefault="00EF19F8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</w:t>
            </w:r>
          </w:p>
          <w:p w:rsidR="00EF19F8" w:rsidRPr="00614635" w:rsidRDefault="00EF19F8" w:rsidP="006146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КОНСТРУКЦИЙ И ИНЖЕНЕРНОГО ОБОРУДОВАНИЯ</w:t>
            </w:r>
          </w:p>
        </w:tc>
      </w:tr>
      <w:tr w:rsidR="00614635" w:rsidRPr="00614635" w:rsidTr="00EF19F8">
        <w:trPr>
          <w:gridAfter w:val="1"/>
          <w:wAfter w:w="611" w:type="dxa"/>
          <w:trHeight w:val="168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535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614635" w:rsidRPr="00614635" w:rsidTr="00EF19F8">
        <w:trPr>
          <w:gridAfter w:val="1"/>
          <w:wAfter w:w="611" w:type="dxa"/>
          <w:trHeight w:val="56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0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Состояние удовлетворительное. Процент износа  - 15% </w:t>
            </w:r>
          </w:p>
        </w:tc>
        <w:tc>
          <w:tcPr>
            <w:tcW w:w="535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614635" w:rsidRPr="00614635" w:rsidTr="00EF19F8">
        <w:trPr>
          <w:gridAfter w:val="1"/>
          <w:wAfter w:w="611" w:type="dxa"/>
          <w:trHeight w:val="105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Отставание отделки или отбитые места площадью менее 1 м</w:t>
            </w:r>
            <w:proofErr w:type="gramStart"/>
            <w:r w:rsidRPr="00EF19F8">
              <w:rPr>
                <w:rFonts w:eastAsia="Times New Roman"/>
                <w:vertAlign w:val="superscript"/>
                <w:lang w:eastAsia="ru-RU"/>
              </w:rPr>
              <w:t>2</w:t>
            </w:r>
            <w:proofErr w:type="gramEnd"/>
            <w:r w:rsidRPr="00614635">
              <w:rPr>
                <w:rFonts w:eastAsia="Times New Roman"/>
                <w:lang w:eastAsia="ru-RU"/>
              </w:rPr>
              <w:t xml:space="preserve"> до 5 % площади поверхности</w:t>
            </w:r>
          </w:p>
        </w:tc>
      </w:tr>
      <w:tr w:rsidR="00614635" w:rsidRPr="00614635" w:rsidTr="00EF19F8">
        <w:trPr>
          <w:gridAfter w:val="1"/>
          <w:wAfter w:w="611" w:type="dxa"/>
          <w:trHeight w:val="96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614635" w:rsidRPr="00614635" w:rsidTr="00EF19F8">
        <w:trPr>
          <w:gridAfter w:val="1"/>
          <w:wAfter w:w="611" w:type="dxa"/>
          <w:trHeight w:val="9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         Процент износа  - 15%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614635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614635">
              <w:rPr>
                <w:rFonts w:eastAsia="Times New Roman"/>
                <w:lang w:eastAsia="ru-RU"/>
              </w:rPr>
              <w:t>.</w:t>
            </w:r>
          </w:p>
        </w:tc>
      </w:tr>
      <w:tr w:rsidR="00614635" w:rsidRPr="00614635" w:rsidTr="00EF19F8">
        <w:trPr>
          <w:gridAfter w:val="1"/>
          <w:wAfter w:w="611" w:type="dxa"/>
          <w:trHeight w:val="93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- 30%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614635" w:rsidRPr="00614635" w:rsidTr="00EF19F8">
        <w:trPr>
          <w:gridAfter w:val="1"/>
          <w:wAfter w:w="611" w:type="dxa"/>
          <w:trHeight w:val="99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помещениях.</w:t>
            </w:r>
          </w:p>
        </w:tc>
      </w:tr>
      <w:tr w:rsidR="00614635" w:rsidRPr="00614635" w:rsidTr="00EF19F8">
        <w:trPr>
          <w:gridAfter w:val="1"/>
          <w:wAfter w:w="611" w:type="dxa"/>
          <w:trHeight w:val="70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- 80%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 Процент износа - 80%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Массовые разрушения покрытия и основания.</w:t>
            </w:r>
          </w:p>
        </w:tc>
      </w:tr>
      <w:tr w:rsidR="00614635" w:rsidRPr="00614635" w:rsidTr="00EF19F8">
        <w:trPr>
          <w:gridAfter w:val="1"/>
          <w:wAfter w:w="611" w:type="dxa"/>
          <w:trHeight w:val="986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 Процент износа  - 80%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EF19F8" w:rsidP="00614635">
            <w:pPr>
              <w:rPr>
                <w:rFonts w:eastAsia="Times New Roman"/>
                <w:lang w:eastAsia="ru-RU"/>
              </w:rPr>
            </w:pPr>
            <w:r w:rsidRPr="00EF19F8">
              <w:rPr>
                <w:rFonts w:eastAsia="Times New Roman"/>
                <w:lang w:eastAsia="ru-RU"/>
              </w:rPr>
              <w:t>Конструкции крыши: в процессе  строительства кровельные перекрытия и лотки водоприёмного желоба не состыкованы друг с другом, величины разрывов от 1.5 до 10 см, в разрывах отсутствует цементное соединение и гидроизоляция. Кровля: Вздутие поверхности, трещины, разрывы (местами) верхнего слоя кровли, требующие замены до 10 % кровли; проникание влаги в местах примыканий к вертикальным поверхностям; повреждение деталей водоприемного устройства. Разрушение верхнего и местами нижних слоев покрытия; вздутия, требующие замены от 10 до 25 % кровельного покрытия. Массовые протечки, отслоения покрытия от основания</w:t>
            </w:r>
          </w:p>
        </w:tc>
      </w:tr>
      <w:tr w:rsidR="00614635" w:rsidRPr="00614635" w:rsidTr="00EF19F8">
        <w:trPr>
          <w:gridAfter w:val="1"/>
          <w:wAfter w:w="611" w:type="dxa"/>
          <w:trHeight w:val="68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Мелкие сколы и трещины  на площади до 20 %</w:t>
            </w:r>
          </w:p>
        </w:tc>
      </w:tr>
      <w:tr w:rsidR="00614635" w:rsidRPr="00614635" w:rsidTr="00EF19F8">
        <w:trPr>
          <w:gridAfter w:val="1"/>
          <w:wAfter w:w="611" w:type="dxa"/>
          <w:trHeight w:val="56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2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Дверные заполнения 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по - 25%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7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- 25%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252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- 80%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EF19F8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Штукатурка: Волосные трещины и сколы местами, отделка водными составами: местные единичные повреждения окрасочного слоя, волосные трещины в рустах, в местах сопряжения потолков и стен, окраска </w:t>
            </w:r>
            <w:proofErr w:type="spellStart"/>
            <w:r w:rsidRPr="00614635">
              <w:rPr>
                <w:rFonts w:eastAsia="Times New Roman"/>
                <w:lang w:eastAsia="ru-RU"/>
              </w:rPr>
              <w:t>маслянными</w:t>
            </w:r>
            <w:proofErr w:type="spellEnd"/>
            <w:r w:rsidRPr="00614635">
              <w:rPr>
                <w:rFonts w:eastAsia="Times New Roman"/>
                <w:lang w:eastAsia="ru-RU"/>
              </w:rPr>
              <w:t xml:space="preserve"> составами; Местные единичные повреждения окрасочного слоя, царапины</w:t>
            </w:r>
          </w:p>
        </w:tc>
      </w:tr>
      <w:tr w:rsidR="00614635" w:rsidRPr="00614635" w:rsidTr="00EF19F8">
        <w:trPr>
          <w:gridAfter w:val="1"/>
          <w:wAfter w:w="611" w:type="dxa"/>
          <w:trHeight w:val="213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Процент износа - 60%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Предельный срок эксплуатации запорной арматуры системы отопления истёк.</w:t>
            </w:r>
          </w:p>
        </w:tc>
      </w:tr>
      <w:tr w:rsidR="00614635" w:rsidRPr="00614635" w:rsidTr="00EF19F8">
        <w:trPr>
          <w:gridAfter w:val="1"/>
          <w:wAfter w:w="611" w:type="dxa"/>
          <w:trHeight w:val="169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Поскольку система погодного регулирования в МКД № 33 «А» по ул. Давыдова в г. Владивостоке отсутствует, величина физического износа данного элемента не определяется. 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197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EF19F8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Ослабление прокладок и набивки запорной арматуры. Капельные течи в местах врезки запорной арматуры, измерительных приборов. Предельный срок эксплуатации запорной арматуры системы отопления</w:t>
            </w:r>
            <w:r w:rsidR="00EF19F8">
              <w:rPr>
                <w:rFonts w:eastAsia="Times New Roman"/>
                <w:lang w:eastAsia="ru-RU"/>
              </w:rPr>
              <w:t xml:space="preserve"> истёк</w:t>
            </w:r>
            <w:r w:rsidRPr="00614635">
              <w:rPr>
                <w:rFonts w:eastAsia="Times New Roman"/>
                <w:lang w:eastAsia="ru-RU"/>
              </w:rPr>
              <w:t>.</w:t>
            </w:r>
          </w:p>
        </w:tc>
      </w:tr>
      <w:tr w:rsidR="00614635" w:rsidRPr="00614635" w:rsidTr="00EF19F8">
        <w:trPr>
          <w:gridAfter w:val="1"/>
          <w:wAfter w:w="611" w:type="dxa"/>
          <w:trHeight w:val="70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- 35%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21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Процент износа - 70%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Ослабление сальниковых набивок, прокладок смесителей                                и запорной арматуры, отдельные нарушения теплоизоляции магистралей и стояков Предельный срок эксплуатации магистралей и стояков из труб стальных, чёрных, запорной арматуры чугунной истёк. </w:t>
            </w:r>
          </w:p>
        </w:tc>
      </w:tr>
      <w:tr w:rsidR="00614635" w:rsidRPr="00614635" w:rsidTr="00EF19F8">
        <w:trPr>
          <w:gridAfter w:val="1"/>
          <w:wAfter w:w="611" w:type="dxa"/>
          <w:trHeight w:val="65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Процент износа - 55%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70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Процент износа - 80%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27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65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68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 При визуальном осмотре системы канализации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99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Процент износа  - 45%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системы электроснабжения  дефекты не выявлены</w:t>
            </w:r>
          </w:p>
        </w:tc>
      </w:tr>
      <w:tr w:rsidR="00614635" w:rsidRPr="00614635" w:rsidTr="00EF19F8">
        <w:trPr>
          <w:gridAfter w:val="1"/>
          <w:wAfter w:w="611" w:type="dxa"/>
          <w:trHeight w:val="98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- 55%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системы электроснабжения  дефекты не выявлены</w:t>
            </w:r>
          </w:p>
        </w:tc>
      </w:tr>
      <w:tr w:rsidR="00614635" w:rsidRPr="00614635" w:rsidTr="00EF19F8">
        <w:trPr>
          <w:gridAfter w:val="1"/>
          <w:wAfter w:w="611" w:type="dxa"/>
          <w:trHeight w:val="8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-15%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EF19F8" w:rsidP="0061463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Провести визуальный осмотр </w:t>
            </w:r>
            <w:r w:rsidR="00614635" w:rsidRPr="00614635">
              <w:rPr>
                <w:rFonts w:eastAsia="Times New Roman"/>
                <w:lang w:eastAsia="ru-RU"/>
              </w:rPr>
              <w:t xml:space="preserve">не представилось </w:t>
            </w:r>
            <w:proofErr w:type="gramStart"/>
            <w:r w:rsidR="00614635" w:rsidRPr="00614635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="00614635" w:rsidRPr="00614635">
              <w:rPr>
                <w:rFonts w:eastAsia="Times New Roman"/>
                <w:lang w:eastAsia="ru-RU"/>
              </w:rPr>
              <w:t>.</w:t>
            </w:r>
          </w:p>
        </w:tc>
      </w:tr>
      <w:tr w:rsidR="00614635" w:rsidRPr="00614635" w:rsidTr="00EF19F8">
        <w:trPr>
          <w:gridAfter w:val="1"/>
          <w:wAfter w:w="611" w:type="dxa"/>
          <w:trHeight w:val="41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70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5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74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614635">
              <w:rPr>
                <w:rFonts w:eastAsia="Times New Roman"/>
                <w:lang w:eastAsia="ru-RU"/>
              </w:rPr>
              <w:t>о ООО</w:t>
            </w:r>
            <w:proofErr w:type="gramEnd"/>
            <w:r w:rsidRPr="00614635">
              <w:rPr>
                <w:rFonts w:eastAsia="Times New Roman"/>
                <w:lang w:eastAsia="ru-RU"/>
              </w:rPr>
              <w:t xml:space="preserve"> "УК СТАНДАРТ" не обслуживается.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42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0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EF19F8" w:rsidRPr="00614635" w:rsidTr="00EF19F8">
        <w:trPr>
          <w:gridAfter w:val="1"/>
          <w:wAfter w:w="611" w:type="dxa"/>
          <w:trHeight w:val="1847"/>
        </w:trPr>
        <w:tc>
          <w:tcPr>
            <w:tcW w:w="14757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F19F8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</w:p>
          <w:p w:rsidR="00EF19F8" w:rsidRPr="00EF19F8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EF19F8">
              <w:rPr>
                <w:rFonts w:eastAsia="Times New Roman"/>
                <w:color w:val="000000"/>
                <w:lang w:eastAsia="ru-RU"/>
              </w:rPr>
              <w:t>Решение комиссии: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EF19F8">
              <w:rPr>
                <w:rFonts w:eastAsia="Times New Roman"/>
                <w:color w:val="000000"/>
                <w:lang w:eastAsia="ru-RU"/>
              </w:rPr>
              <w:t>На основании результатов общего (весеннего) осмотра комиссия считает, что здание многоквартирного дома по адресу:   ул. Давыдова, 33 "А" в г. Владивостоке,  находится в ограниченно-работоспособном состоянии. Необходимо проведение следующих работ:</w:t>
            </w:r>
          </w:p>
        </w:tc>
      </w:tr>
      <w:tr w:rsidR="00614635" w:rsidRPr="00614635" w:rsidTr="00EF19F8">
        <w:trPr>
          <w:gridAfter w:val="1"/>
          <w:wAfter w:w="611" w:type="dxa"/>
          <w:trHeight w:val="42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66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614635" w:rsidRPr="00614635" w:rsidTr="00AD3211">
        <w:trPr>
          <w:gridAfter w:val="1"/>
          <w:wAfter w:w="611" w:type="dxa"/>
          <w:trHeight w:val="1968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66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 xml:space="preserve">Стены наружные Фасад. Несущие и ограждающие конструкции </w:t>
            </w:r>
            <w:proofErr w:type="spellStart"/>
            <w:r w:rsidRPr="00614635">
              <w:rPr>
                <w:rFonts w:eastAsia="Times New Roman"/>
                <w:color w:val="000000"/>
                <w:lang w:eastAsia="ru-RU"/>
              </w:rPr>
              <w:t>ПолыДверные</w:t>
            </w:r>
            <w:proofErr w:type="spellEnd"/>
            <w:r w:rsidRPr="00614635">
              <w:rPr>
                <w:rFonts w:eastAsia="Times New Roman"/>
                <w:color w:val="000000"/>
                <w:lang w:eastAsia="ru-RU"/>
              </w:rPr>
              <w:t xml:space="preserve"> заполнения  Лестничные клетки Общие коридоры и тамбуры Система </w:t>
            </w:r>
            <w:proofErr w:type="gramStart"/>
            <w:r w:rsidRPr="00614635">
              <w:rPr>
                <w:rFonts w:eastAsia="Times New Roman"/>
                <w:color w:val="000000"/>
                <w:lang w:eastAsia="ru-RU"/>
              </w:rPr>
              <w:t>отопления</w:t>
            </w:r>
            <w:proofErr w:type="gramEnd"/>
            <w:r w:rsidRPr="00614635">
              <w:rPr>
                <w:rFonts w:eastAsia="Times New Roman"/>
                <w:color w:val="000000"/>
                <w:lang w:eastAsia="ru-RU"/>
              </w:rPr>
              <w:t xml:space="preserve"> Автоматизированные тепловые пункты Общедомовые узлы учета потребления тепловой энергии Элеваторные узлы системы отопления Система горячего водоснабжения Общедомовые узлы учета потребления ГВС Система холодного водоснабжения </w:t>
            </w:r>
          </w:p>
        </w:tc>
      </w:tr>
      <w:tr w:rsidR="00614635" w:rsidRPr="00614635" w:rsidTr="00EF19F8">
        <w:trPr>
          <w:gridAfter w:val="1"/>
          <w:wAfter w:w="611" w:type="dxa"/>
          <w:trHeight w:val="84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6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Общедомовые узлы учета потребления ХВС Система канализации  Кровля Фасад, Система вентиляции. Система горячего водоснабжения Система холодного водоснабжения Система отопления</w:t>
            </w:r>
          </w:p>
        </w:tc>
      </w:tr>
      <w:tr w:rsidR="00614635" w:rsidRPr="00614635" w:rsidTr="00EF19F8">
        <w:trPr>
          <w:gridAfter w:val="1"/>
          <w:wAfter w:w="611" w:type="dxa"/>
          <w:trHeight w:val="94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66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</w:t>
            </w:r>
          </w:p>
        </w:tc>
      </w:tr>
      <w:tr w:rsidR="00614635" w:rsidRPr="00614635" w:rsidTr="00EF19F8">
        <w:trPr>
          <w:gridAfter w:val="1"/>
          <w:wAfter w:w="611" w:type="dxa"/>
          <w:trHeight w:val="48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</w:p>
          <w:p w:rsidR="00AD3211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</w:p>
          <w:p w:rsidR="00AD3211" w:rsidRPr="00614635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Подписи: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D3211" w:rsidRPr="00614635" w:rsidTr="00CA013E">
        <w:trPr>
          <w:gridAfter w:val="1"/>
          <w:wAfter w:w="611" w:type="dxa"/>
          <w:trHeight w:val="2865"/>
        </w:trPr>
        <w:tc>
          <w:tcPr>
            <w:tcW w:w="14757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3211" w:rsidRPr="00614635" w:rsidRDefault="00AD3211" w:rsidP="00AD3211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AD3211" w:rsidRPr="00614635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Главный инженер ООО "УК </w:t>
            </w:r>
            <w:r w:rsidRPr="00614635">
              <w:rPr>
                <w:rFonts w:eastAsia="Times New Roman"/>
                <w:color w:val="000000"/>
                <w:lang w:eastAsia="ru-RU"/>
              </w:rPr>
              <w:t>СТАНДАРТ"</w:t>
            </w:r>
            <w:r>
              <w:t xml:space="preserve"> </w:t>
            </w:r>
            <w:r w:rsidRPr="00AD3211">
              <w:rPr>
                <w:rFonts w:eastAsia="Times New Roman"/>
                <w:color w:val="000000"/>
                <w:lang w:eastAsia="ru-RU"/>
              </w:rPr>
              <w:t>Хренников А.С.</w:t>
            </w:r>
          </w:p>
          <w:p w:rsidR="00AD3211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AD3211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14635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614635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614635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14635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AD3211" w:rsidRPr="00614635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AD3211">
              <w:rPr>
                <w:rFonts w:eastAsia="Times New Roman"/>
                <w:color w:val="000000"/>
                <w:lang w:eastAsia="ru-RU"/>
              </w:rPr>
              <w:t>Представитель собственников помещений: Председатель Совета МКД  Воронов А.А.</w:t>
            </w:r>
          </w:p>
        </w:tc>
      </w:tr>
    </w:tbl>
    <w:p w:rsidR="001851B4" w:rsidRPr="00614635" w:rsidRDefault="001851B4"/>
    <w:sectPr w:rsidR="001851B4" w:rsidRPr="00614635" w:rsidSect="00EF19F8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7"/>
    <w:rsid w:val="000C2D7B"/>
    <w:rsid w:val="00102017"/>
    <w:rsid w:val="001851B4"/>
    <w:rsid w:val="0020338C"/>
    <w:rsid w:val="0030165F"/>
    <w:rsid w:val="00581D71"/>
    <w:rsid w:val="00614635"/>
    <w:rsid w:val="00736DC5"/>
    <w:rsid w:val="00AD3211"/>
    <w:rsid w:val="00BA7E8B"/>
    <w:rsid w:val="00E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2021-08-24T00:44:00Z</dcterms:created>
  <dcterms:modified xsi:type="dcterms:W3CDTF">2021-08-25T00:38:00Z</dcterms:modified>
</cp:coreProperties>
</file>