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26" w:type="dxa"/>
        <w:tblInd w:w="93" w:type="dxa"/>
        <w:tblLook w:val="04A0" w:firstRow="1" w:lastRow="0" w:firstColumn="1" w:lastColumn="0" w:noHBand="0" w:noVBand="1"/>
      </w:tblPr>
      <w:tblGrid>
        <w:gridCol w:w="1067"/>
        <w:gridCol w:w="803"/>
        <w:gridCol w:w="1620"/>
        <w:gridCol w:w="2273"/>
        <w:gridCol w:w="370"/>
        <w:gridCol w:w="1560"/>
        <w:gridCol w:w="1150"/>
        <w:gridCol w:w="905"/>
        <w:gridCol w:w="1930"/>
        <w:gridCol w:w="1779"/>
        <w:gridCol w:w="1267"/>
        <w:gridCol w:w="6"/>
        <w:gridCol w:w="58"/>
        <w:gridCol w:w="172"/>
        <w:gridCol w:w="6"/>
        <w:gridCol w:w="782"/>
        <w:gridCol w:w="172"/>
        <w:gridCol w:w="6"/>
      </w:tblGrid>
      <w:tr w:rsidR="000C3D6A" w:rsidRPr="000C3D6A" w:rsidTr="000C3D6A">
        <w:trPr>
          <w:gridAfter w:val="2"/>
          <w:wAfter w:w="178" w:type="dxa"/>
          <w:trHeight w:val="315"/>
        </w:trPr>
        <w:tc>
          <w:tcPr>
            <w:tcW w:w="147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9"/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  <w:bookmarkEnd w:id="0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147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ОБЩЕГО (ВЕСЕННЕГО) ОСМОТРА ОБЩЕГО ИМУЩЕСТВА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147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20"/>
        </w:trPr>
        <w:tc>
          <w:tcPr>
            <w:tcW w:w="14788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ул. Давыдова, 29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20"/>
        </w:trPr>
        <w:tc>
          <w:tcPr>
            <w:tcW w:w="34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г. Владивосток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795785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"</w:t>
            </w:r>
            <w:r w:rsidR="00795785">
              <w:rPr>
                <w:rFonts w:eastAsia="Times New Roman"/>
                <w:color w:val="000000"/>
                <w:lang w:eastAsia="ru-RU"/>
              </w:rPr>
              <w:t>11</w:t>
            </w:r>
            <w:r w:rsidRPr="000C3D6A">
              <w:rPr>
                <w:rFonts w:eastAsia="Times New Roman"/>
                <w:color w:val="000000"/>
                <w:lang w:eastAsia="ru-RU"/>
              </w:rPr>
              <w:t>" мая 202</w:t>
            </w:r>
            <w:r w:rsidR="00795785">
              <w:rPr>
                <w:rFonts w:eastAsia="Times New Roman"/>
                <w:color w:val="000000"/>
                <w:lang w:eastAsia="ru-RU"/>
              </w:rPr>
              <w:t>2</w:t>
            </w:r>
            <w:r w:rsidRPr="000C3D6A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20"/>
        </w:trPr>
        <w:tc>
          <w:tcPr>
            <w:tcW w:w="1478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227"/>
        </w:trPr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2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>Генеральный директор: Чернега Наталья Алексеевна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4"/>
        </w:trPr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625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504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312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(ненужное зачеркнуть)</w:t>
            </w:r>
          </w:p>
        </w:tc>
        <w:tc>
          <w:tcPr>
            <w:tcW w:w="625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358"/>
        </w:trPr>
        <w:tc>
          <w:tcPr>
            <w:tcW w:w="5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2008</w:t>
            </w:r>
          </w:p>
        </w:tc>
        <w:tc>
          <w:tcPr>
            <w:tcW w:w="70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300"/>
        </w:trPr>
        <w:tc>
          <w:tcPr>
            <w:tcW w:w="14788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769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19"/>
        </w:trPr>
        <w:tc>
          <w:tcPr>
            <w:tcW w:w="769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76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314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20"/>
        </w:trPr>
        <w:tc>
          <w:tcPr>
            <w:tcW w:w="11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20"/>
        </w:trPr>
        <w:tc>
          <w:tcPr>
            <w:tcW w:w="147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647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29%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1-3 подъезд - 10,                4-7 подъезд - 5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179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300"/>
        </w:trPr>
        <w:tc>
          <w:tcPr>
            <w:tcW w:w="18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общая площадь дома, </w:t>
            </w:r>
            <w:proofErr w:type="spellStart"/>
            <w:r w:rsidRPr="000C3D6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C3D6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15 489,00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общая площадь жилых помещений, </w:t>
            </w:r>
            <w:proofErr w:type="spellStart"/>
            <w:r w:rsidRPr="000C3D6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C3D6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10 885,50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vertAlign w:val="superscript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общая площадь нежилых помещений, </w:t>
            </w:r>
            <w:r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38.8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  <w:proofErr w:type="spellStart"/>
            <w:r w:rsidRPr="000C3D6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C3D6A">
              <w:rPr>
                <w:rFonts w:eastAsia="Times New Roman"/>
                <w:color w:val="000000"/>
                <w:lang w:eastAsia="ru-RU"/>
              </w:rPr>
              <w:t xml:space="preserve">.                  </w:t>
            </w:r>
          </w:p>
        </w:tc>
        <w:tc>
          <w:tcPr>
            <w:tcW w:w="1331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4 564,70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1370"/>
        </w:trPr>
        <w:tc>
          <w:tcPr>
            <w:tcW w:w="18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3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32"/>
        </w:trPr>
        <w:tc>
          <w:tcPr>
            <w:tcW w:w="14788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669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630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52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6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3F4B7E">
        <w:trPr>
          <w:gridAfter w:val="2"/>
          <w:wAfter w:w="178" w:type="dxa"/>
          <w:trHeight w:val="340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660"/>
        </w:trPr>
        <w:tc>
          <w:tcPr>
            <w:tcW w:w="14788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10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площадь, </w:t>
            </w:r>
            <w:proofErr w:type="spellStart"/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197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lastRenderedPageBreak/>
              <w:t>кровля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1761.55</w:t>
            </w: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Крыша плоская. На 10-этажной секции кровля сборная, из железобетонных панелей с гидроизоляцией мастичными наполнителями в стыках. Водосток внутренний – по трубопроводам ливневой канализации через приёмные решётки.   На 5-этажной секции и вставках - кровля рулонная. Водосток внутренний – по трубопроводам ливневой канализации через приёмные решётки.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287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7165.52</w:t>
            </w: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Фасад из несущих керамзитовых панелей с заводской отделкой.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378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1204.00</w:t>
            </w: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Железобетонные панели.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270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8222.72</w:t>
            </w: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Железобетонные плиты.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1082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880.0</w:t>
            </w: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4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76.00</w:t>
            </w:r>
          </w:p>
        </w:tc>
        <w:tc>
          <w:tcPr>
            <w:tcW w:w="8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1"/>
          <w:wAfter w:w="6" w:type="dxa"/>
          <w:trHeight w:val="977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78.00</w:t>
            </w:r>
          </w:p>
        </w:tc>
        <w:tc>
          <w:tcPr>
            <w:tcW w:w="8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Входные двери - металлические, оборудованы домофоном. Двери выходов на чердак, входа в подвал, в </w:t>
            </w:r>
            <w:proofErr w:type="spellStart"/>
            <w:r w:rsidRPr="000C3D6A">
              <w:rPr>
                <w:rFonts w:eastAsia="Times New Roman"/>
                <w:color w:val="000000"/>
                <w:lang w:eastAsia="ru-RU"/>
              </w:rPr>
              <w:t>мусорокамеру</w:t>
            </w:r>
            <w:proofErr w:type="spellEnd"/>
            <w:r w:rsidRPr="000C3D6A">
              <w:rPr>
                <w:rFonts w:eastAsia="Times New Roman"/>
                <w:color w:val="000000"/>
                <w:lang w:eastAsia="ru-RU"/>
              </w:rPr>
              <w:t xml:space="preserve"> –   металлические</w:t>
            </w:r>
          </w:p>
        </w:tc>
        <w:tc>
          <w:tcPr>
            <w:tcW w:w="236" w:type="dxa"/>
            <w:gridSpan w:val="3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1"/>
          <w:wAfter w:w="6" w:type="dxa"/>
          <w:trHeight w:val="424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155.24</w:t>
            </w:r>
          </w:p>
        </w:tc>
        <w:tc>
          <w:tcPr>
            <w:tcW w:w="8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Фундамент ленточный из железобетонных блоков.</w:t>
            </w: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1"/>
          <w:wAfter w:w="6" w:type="dxa"/>
          <w:trHeight w:val="419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Технический этаж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1761.55</w:t>
            </w:r>
          </w:p>
        </w:tc>
        <w:tc>
          <w:tcPr>
            <w:tcW w:w="8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Стены - из несущих </w:t>
            </w:r>
            <w:proofErr w:type="spellStart"/>
            <w:r w:rsidRPr="000C3D6A">
              <w:rPr>
                <w:rFonts w:eastAsia="Times New Roman"/>
                <w:color w:val="000000"/>
                <w:lang w:eastAsia="ru-RU"/>
              </w:rPr>
              <w:t>керамизитовых</w:t>
            </w:r>
            <w:proofErr w:type="spellEnd"/>
            <w:r w:rsidRPr="000C3D6A">
              <w:rPr>
                <w:rFonts w:eastAsia="Times New Roman"/>
                <w:color w:val="000000"/>
                <w:lang w:eastAsia="ru-RU"/>
              </w:rPr>
              <w:t xml:space="preserve"> панелей</w:t>
            </w: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4"/>
          <w:wAfter w:w="966" w:type="dxa"/>
          <w:trHeight w:val="419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1761.55</w:t>
            </w:r>
          </w:p>
        </w:tc>
        <w:tc>
          <w:tcPr>
            <w:tcW w:w="8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Стены – фундаментные блоки</w:t>
            </w:r>
          </w:p>
        </w:tc>
        <w:tc>
          <w:tcPr>
            <w:tcW w:w="236" w:type="dxa"/>
            <w:gridSpan w:val="3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C3D6A" w:rsidRPr="000C3D6A" w:rsidTr="000C3D6A">
        <w:trPr>
          <w:gridAfter w:val="1"/>
          <w:wAfter w:w="6" w:type="dxa"/>
          <w:trHeight w:val="1261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Придомовая территория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Не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определена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на основании данных государственного кадастра</w:t>
            </w:r>
          </w:p>
        </w:tc>
        <w:tc>
          <w:tcPr>
            <w:tcW w:w="859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Установлены детские, бельевая и контейнерная площадка.</w:t>
            </w: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4"/>
          <w:wAfter w:w="966" w:type="dxa"/>
          <w:trHeight w:val="300"/>
        </w:trPr>
        <w:tc>
          <w:tcPr>
            <w:tcW w:w="14724" w:type="dxa"/>
            <w:gridSpan w:val="1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  <w:tc>
          <w:tcPr>
            <w:tcW w:w="236" w:type="dxa"/>
            <w:gridSpan w:val="3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C3D6A" w:rsidRPr="000C3D6A" w:rsidTr="000C3D6A">
        <w:trPr>
          <w:gridAfter w:val="1"/>
          <w:wAfter w:w="6" w:type="dxa"/>
          <w:trHeight w:val="380"/>
        </w:trPr>
        <w:tc>
          <w:tcPr>
            <w:tcW w:w="349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234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0C3D6A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trHeight w:val="5238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электросетей. Электропитание осуществляется по кабельной линии 380/220В. 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расположены в отдельных помещениях 1-го, 3 и 4-го подъездов. На каждом этаже здания установлены поэтажные распределительные  щиты. Разводка системы электроснабжения от ВРУ к </w:t>
            </w:r>
            <w:proofErr w:type="spellStart"/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распредщитам</w:t>
            </w:r>
            <w:proofErr w:type="spellEnd"/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и групповая сеть выполнена скрытым способом в конструкциях внутренних стен. Напряжение в сети рабочего освещения 220В. Установлены 6 измерительных комплексов электроснабжения (собственность Оборонэнерго) в составе: 1) прибор учёта: ПСЧ ЭТА 07.112.2  № 09004314 измерительные трансформаторы тока: Т-0.66 М УЗ №№ 130210, 130747, 130759 2) прибор учёта: ПСЧ ЭТА 07.112.2 № 09004928, измерительные трансформаторы тока: Т-0.66 М УЗ №№ 129515, 130871, 130892  3) прибор учёта: ПСЧ ЭТА 07.112.2 № 09004335 измерительные трансформаторы тока: Т-0.66 М УЗ №№ 105516, 105574, 105952 4) прибор учёта: ПСЧ ЭТА 07.112.2 № 09004972, измерительные трансформаторы тока: Т-0.66 М УЗ №№ 105917, 105953, 111892 5) прибор учёта: ПСЧ ЭТА 07.112.2 № 11010722  измерительные трансформаторы тока: Т-0.66 М УЗ №№ 07683, 07713, 07713  6)  прибор учёта: ПСЧ ЭТА 07.112.2 № 11009065 измерительные трансформаторы тока: Т-0.66 М УЗ №№ 07728, 07796, 07864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Default="000C3D6A">
            <w:pPr>
              <w:rPr>
                <w:rFonts w:eastAsia="Times New Roman"/>
                <w:color w:val="000000"/>
                <w:lang w:eastAsia="ru-RU"/>
              </w:rPr>
            </w:pPr>
          </w:p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2828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инженерных сетей. Устроено 2 тепловых узла в 10-ти и 5-ти этажных секциях отдельно. Водоснабжение предусмотрено от наружной сети двумя вводами (подача и обратный трубопровод) в каждом узле Ø 89 и 127 мм соответственно. Магистральные трубы стальные черные проходят через все здание.  Трубопровод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открыто по подвальному помещению. Внутренняя разводка сетей горячего водоснабжения от магистральных труб до стояков стальных  выполнена из стальных труб Ø 45 мм, до потребителей Ø 32 мм. Установлены 2 узла учёта тепловой энергии - в 1-3 подъездах: теплосчётчик ТВ-7-04 № 15-025679, в 4-7 подъезде: теплосчётчик ТВ-7-04 № 15-025030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2897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lastRenderedPageBreak/>
              <w:t>холодное водоснабжение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Централизованного типа от городских инженерных сетей. Водоснабжение здания предусмотрено от наружной сети одним вводом Ø 100 мм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у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становлены 2 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 xml:space="preserve">водомерных узла расположен в техническом подвале в районе 1-ого и 7-ого подъездов здания. От водомерных узлов через все здание проходит магистральные трубопроводы Ø 80 мм, проложенные в подвальном помещении </w:t>
            </w:r>
            <w:r w:rsidRPr="000C3D6A">
              <w:rPr>
                <w:rFonts w:eastAsia="Times New Roman"/>
                <w:color w:val="000000"/>
                <w:lang w:eastAsia="ru-RU"/>
              </w:rPr>
              <w:br/>
              <w:t xml:space="preserve">открытым способом. Внутренняя разводка по зданию вертикального типа, из стальных труб Ø 32 мм. По магистральной горизонтальной разводке смонтированы перекрывающие вентили. Установлены 2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водомерных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узла с приборами учёта: 1-3 подъезды – ВСКМ 90-40 № 001329 и 4-7 подъезды – ВСК32 № 123852486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912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>, выпуск в городские сети КГУП «Приморский водоканал», выполнено чугунными трубами.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254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инженерных сетей, 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состоящая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 xml:space="preserve"> из трубопроводов подачи и </w:t>
            </w:r>
            <w:proofErr w:type="spellStart"/>
            <w:r w:rsidRPr="000C3D6A">
              <w:rPr>
                <w:rFonts w:eastAsia="Times New Roman"/>
                <w:color w:val="000000"/>
                <w:lang w:eastAsia="ru-RU"/>
              </w:rPr>
              <w:t>обратки</w:t>
            </w:r>
            <w:proofErr w:type="spellEnd"/>
            <w:r w:rsidRPr="000C3D6A">
              <w:rPr>
                <w:rFonts w:eastAsia="Times New Roman"/>
                <w:color w:val="000000"/>
                <w:lang w:eastAsia="ru-RU"/>
              </w:rPr>
              <w:t>.</w:t>
            </w:r>
            <w:r w:rsidR="00C8331B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C3D6A">
              <w:rPr>
                <w:rFonts w:eastAsia="Times New Roman"/>
                <w:color w:val="000000"/>
                <w:lang w:eastAsia="ru-RU"/>
              </w:rPr>
              <w:t>Установлены два тепловых узла – на 10-ти этажную и 5-ти этажную секции отдельно. Магистральные трубы стальные черные, проложены в техническом подвале открытым способом.  Внутренняя разводка отопления от магистральных труб до потребителе</w:t>
            </w:r>
            <w:proofErr w:type="gramStart"/>
            <w:r w:rsidRPr="000C3D6A">
              <w:rPr>
                <w:rFonts w:eastAsia="Times New Roman"/>
                <w:color w:val="000000"/>
                <w:lang w:eastAsia="ru-RU"/>
              </w:rPr>
              <w:t>й(</w:t>
            </w:r>
            <w:proofErr w:type="gramEnd"/>
            <w:r w:rsidRPr="000C3D6A">
              <w:rPr>
                <w:rFonts w:eastAsia="Times New Roman"/>
                <w:color w:val="000000"/>
                <w:lang w:eastAsia="ru-RU"/>
              </w:rPr>
              <w:t>стояки) выполнена их стальных черных труб Ø 25 мм. Установлено 2 узла учёта тепловой энергии: на 1-3 подъезды теплосчётчик ТЭМ-104-2 №  1550836 и 4-7 подъезды -  ТВ-7-04 №15-025030. установлены датчики погодного регулирования. Установлены отопительные приборы в местах общего пользования.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B7E" w:rsidRPr="000C3D6A" w:rsidTr="000C3D6A">
        <w:trPr>
          <w:gridAfter w:val="2"/>
          <w:wAfter w:w="178" w:type="dxa"/>
          <w:trHeight w:val="563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F4B7E" w:rsidRPr="000C3D6A" w:rsidRDefault="003F4B7E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Лифтовое оборудование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F4B7E" w:rsidRPr="000C3D6A" w:rsidRDefault="003F4B7E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4B7E">
              <w:rPr>
                <w:rFonts w:eastAsia="Times New Roman"/>
                <w:color w:val="000000"/>
                <w:lang w:eastAsia="ru-RU"/>
              </w:rPr>
              <w:t>В МКД № 29 по ул. Давыдова установлены лифты: в 1-ом подъезде – заводской номер 58232, год ввода в эксплуатацию 2010, во 2-ом подъезде - заводской номер 58231, год ввода в эксплуатацию 2010, в 3-ем подъезде – заводской номер 58230, год ввода в эксплуатацию 2010.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4B7E" w:rsidRPr="000C3D6A" w:rsidRDefault="003F4B7E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563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1478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D6A" w:rsidRPr="000C3D6A" w:rsidTr="000C3D6A">
        <w:trPr>
          <w:gridAfter w:val="2"/>
          <w:wAfter w:w="178" w:type="dxa"/>
          <w:trHeight w:val="405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lastRenderedPageBreak/>
              <w:t>газоснабжения</w:t>
            </w:r>
          </w:p>
        </w:tc>
        <w:tc>
          <w:tcPr>
            <w:tcW w:w="11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C3D6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D6A" w:rsidRPr="000C3D6A" w:rsidRDefault="000C3D6A" w:rsidP="000C3D6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331B" w:rsidRPr="00C8331B" w:rsidRDefault="00C8331B" w:rsidP="007634AE">
      <w:pPr>
        <w:jc w:val="both"/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246"/>
        <w:gridCol w:w="2953"/>
        <w:gridCol w:w="222"/>
        <w:gridCol w:w="2900"/>
        <w:gridCol w:w="1060"/>
        <w:gridCol w:w="6235"/>
      </w:tblGrid>
      <w:tr w:rsidR="007634AE" w:rsidRPr="00C8331B" w:rsidTr="007C7B17">
        <w:trPr>
          <w:trHeight w:val="3264"/>
        </w:trPr>
        <w:tc>
          <w:tcPr>
            <w:tcW w:w="1461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634AE" w:rsidRPr="00C8331B" w:rsidRDefault="007634AE" w:rsidP="007634AE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1" w:name="RANGE!A1:F82"/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bookmarkEnd w:id="1"/>
          <w:p w:rsidR="007634AE" w:rsidRPr="00C8331B" w:rsidRDefault="007634AE" w:rsidP="007634A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8331B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="00795785">
              <w:rPr>
                <w:rFonts w:eastAsia="Times New Roman"/>
                <w:color w:val="000000"/>
                <w:lang w:eastAsia="ru-RU"/>
              </w:rPr>
              <w:t>Цылев А.А.</w:t>
            </w:r>
            <w:bookmarkStart w:id="2" w:name="_GoBack"/>
            <w:bookmarkEnd w:id="2"/>
          </w:p>
          <w:p w:rsidR="007634AE" w:rsidRDefault="007634AE" w:rsidP="007634A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7634AE" w:rsidRPr="00C8331B" w:rsidRDefault="007634AE" w:rsidP="007634A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C8331B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C8331B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C8331B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7634AE" w:rsidRPr="00C8331B" w:rsidRDefault="007634AE" w:rsidP="007634A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представитель  собственников помещений: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8331B">
              <w:rPr>
                <w:rFonts w:eastAsia="Times New Roman"/>
                <w:color w:val="000000"/>
                <w:lang w:eastAsia="ru-RU"/>
              </w:rPr>
              <w:t>Председатель совета МКД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C8331B">
              <w:rPr>
                <w:rFonts w:eastAsia="Times New Roman"/>
                <w:color w:val="000000"/>
                <w:lang w:eastAsia="ru-RU"/>
              </w:rPr>
              <w:t>Степановский А.И.</w:t>
            </w:r>
          </w:p>
          <w:p w:rsidR="007634AE" w:rsidRPr="00C8331B" w:rsidRDefault="007634AE" w:rsidP="007634A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произвела общий (весенний) осмотр элементов общего имущества многоквартирного дома.</w:t>
            </w:r>
          </w:p>
          <w:p w:rsidR="007C7B17" w:rsidRDefault="007634AE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При осмотре установлено следующее:</w:t>
            </w:r>
          </w:p>
          <w:p w:rsidR="007C7B17" w:rsidRPr="007C7B17" w:rsidRDefault="007C7B17" w:rsidP="007C7B1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7C7B17">
              <w:rPr>
                <w:rFonts w:eastAsia="Times New Roman"/>
                <w:b/>
                <w:color w:val="000000"/>
                <w:lang w:eastAsia="ru-RU"/>
              </w:rPr>
              <w:t>РЕЗУЛЬТАТЫ ОСМОТРА                                                                                                                                                                            технического состояния</w:t>
            </w:r>
          </w:p>
          <w:p w:rsidR="007634AE" w:rsidRPr="007C7B17" w:rsidRDefault="007C7B17" w:rsidP="007C7B1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7C7B17">
              <w:rPr>
                <w:rFonts w:eastAsia="Times New Roman"/>
                <w:b/>
                <w:color w:val="000000"/>
                <w:lang w:eastAsia="ru-RU"/>
              </w:rPr>
              <w:t>строительных конструкций и инженерного оборудования</w:t>
            </w:r>
          </w:p>
          <w:p w:rsidR="007634AE" w:rsidRPr="00C8331B" w:rsidRDefault="007634AE" w:rsidP="007634AE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331B" w:rsidRPr="00C8331B" w:rsidTr="007C7B17">
        <w:trPr>
          <w:trHeight w:val="1968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331B" w:rsidRPr="00C8331B" w:rsidRDefault="00C8331B" w:rsidP="007C7B1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331B" w:rsidRPr="00C8331B" w:rsidRDefault="00C8331B" w:rsidP="007C7B1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331B" w:rsidRPr="00C8331B" w:rsidRDefault="00C8331B" w:rsidP="007C7B1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ВСН 53-86(р)</w:t>
            </w:r>
          </w:p>
        </w:tc>
        <w:tc>
          <w:tcPr>
            <w:tcW w:w="6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331B" w:rsidRPr="00C8331B" w:rsidRDefault="00C8331B" w:rsidP="007C7B1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C8331B" w:rsidRPr="00C8331B" w:rsidTr="007C7B17">
        <w:trPr>
          <w:trHeight w:val="97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C8331B" w:rsidRPr="00C8331B" w:rsidTr="007C7B17">
        <w:trPr>
          <w:trHeight w:val="97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- 15 %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При визуальном осмотре дефектов не выявлено. Продухи в подвалы заложены </w:t>
            </w:r>
            <w:r w:rsidR="007C7B17" w:rsidRPr="00C8331B">
              <w:rPr>
                <w:rFonts w:eastAsia="Times New Roman"/>
                <w:lang w:eastAsia="ru-RU"/>
              </w:rPr>
              <w:t>кирпичом</w:t>
            </w:r>
          </w:p>
        </w:tc>
      </w:tr>
      <w:tr w:rsidR="00C8331B" w:rsidRPr="00C8331B" w:rsidTr="007C7B17">
        <w:trPr>
          <w:trHeight w:val="126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</w:t>
            </w:r>
            <w:r w:rsidR="007C7B17" w:rsidRPr="00C8331B">
              <w:rPr>
                <w:rFonts w:eastAsia="Times New Roman"/>
                <w:lang w:eastAsia="ru-RU"/>
              </w:rPr>
              <w:t>удовлетворительное</w:t>
            </w:r>
            <w:r w:rsidRPr="00C8331B">
              <w:rPr>
                <w:rFonts w:eastAsia="Times New Roman"/>
                <w:lang w:eastAsia="ru-RU"/>
              </w:rPr>
              <w:t>. Процент износа - 30%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Трещины, выветривание раствора из стыков, мелкие повреждения облицовки или фактурного слоя, следы протечек через стыки внутри здания,</w:t>
            </w:r>
            <w:r w:rsidR="007C7B17">
              <w:rPr>
                <w:rFonts w:eastAsia="Times New Roman"/>
                <w:lang w:eastAsia="ru-RU"/>
              </w:rPr>
              <w:t xml:space="preserve"> </w:t>
            </w:r>
            <w:r w:rsidRPr="00C8331B">
              <w:rPr>
                <w:rFonts w:eastAsia="Times New Roman"/>
                <w:lang w:eastAsia="ru-RU"/>
              </w:rPr>
              <w:t>разрушение заделки стыков</w:t>
            </w:r>
          </w:p>
        </w:tc>
      </w:tr>
      <w:tr w:rsidR="00C8331B" w:rsidRPr="00C8331B" w:rsidTr="007C7B17">
        <w:trPr>
          <w:trHeight w:val="97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C8331B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C8331B">
              <w:rPr>
                <w:rFonts w:eastAsia="Times New Roman"/>
                <w:lang w:eastAsia="ru-RU"/>
              </w:rPr>
              <w:t>.</w:t>
            </w:r>
          </w:p>
        </w:tc>
      </w:tr>
      <w:tr w:rsidR="00C8331B" w:rsidRPr="00C8331B" w:rsidTr="007C7B17">
        <w:trPr>
          <w:trHeight w:val="125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- 30%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Трещины, выветривание раствора из стыков, мелкие повреждения облицовки или фактурного слоя, следы протечек через стыки внутри здания,</w:t>
            </w:r>
            <w:r w:rsidR="007C7B17">
              <w:rPr>
                <w:rFonts w:eastAsia="Times New Roman"/>
                <w:lang w:eastAsia="ru-RU"/>
              </w:rPr>
              <w:t xml:space="preserve"> </w:t>
            </w:r>
            <w:r w:rsidRPr="00C8331B">
              <w:rPr>
                <w:rFonts w:eastAsia="Times New Roman"/>
                <w:lang w:eastAsia="ru-RU"/>
              </w:rPr>
              <w:t>разрушение заделки стыков</w:t>
            </w:r>
          </w:p>
        </w:tc>
      </w:tr>
      <w:tr w:rsidR="00C8331B" w:rsidRPr="00C8331B" w:rsidTr="007C7B17">
        <w:trPr>
          <w:trHeight w:val="137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 - 30%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Трещины, выветривание раствора из стыков, мелкие повреждения облицовки или фактурного слоя, следы протечек через стыки внутри здания,</w:t>
            </w:r>
            <w:r w:rsidR="007C7B17">
              <w:rPr>
                <w:rFonts w:eastAsia="Times New Roman"/>
                <w:lang w:eastAsia="ru-RU"/>
              </w:rPr>
              <w:t xml:space="preserve"> </w:t>
            </w:r>
            <w:r w:rsidRPr="00C8331B">
              <w:rPr>
                <w:rFonts w:eastAsia="Times New Roman"/>
                <w:lang w:eastAsia="ru-RU"/>
              </w:rPr>
              <w:t>разрушение заделки стыков</w:t>
            </w:r>
          </w:p>
        </w:tc>
      </w:tr>
      <w:tr w:rsidR="00C8331B" w:rsidRPr="00C8331B" w:rsidTr="007C7B17">
        <w:trPr>
          <w:trHeight w:val="98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 - 25 %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C8331B" w:rsidRPr="00C8331B" w:rsidTr="00C8331B">
        <w:trPr>
          <w:trHeight w:val="12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C8331B" w:rsidRPr="00C8331B" w:rsidTr="00C8331B">
        <w:trPr>
          <w:trHeight w:val="120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неудовлетворительное. Процент износа  - 80%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Частично растрескивание, выбоины асфальтового покрытия отмостки. Превышен срок эксплуатации элемента отмостка до капитального ремонта.</w:t>
            </w:r>
          </w:p>
        </w:tc>
      </w:tr>
      <w:tr w:rsidR="00C8331B" w:rsidRPr="00C8331B" w:rsidTr="007C7B17">
        <w:trPr>
          <w:trHeight w:val="450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неудовлетворительное. Процент износа - 75%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Для элемента "кровля сборная из сборных железобетонных настилов": </w:t>
            </w:r>
            <w:proofErr w:type="gramStart"/>
            <w:r w:rsidRPr="00C8331B">
              <w:rPr>
                <w:rFonts w:eastAsia="Times New Roman"/>
                <w:lang w:eastAsia="ru-RU"/>
              </w:rPr>
              <w:t>Одиночные мелкие повреждения и пробоины в защитном кровельном покрытии, водоотводящие устройства и покрытия из оцинкованной стали погнуты, верхний защитный слой и защитно-отделочное покрытие кровли отсутствует на площади до 10 %. Для элемента «кровля из рулонных материалов (в 3—4 слоя)» Разрушение верхнего и местами нижних слоев покрытия; вздутия, требующие замены от 10 до 25 % кровельного покрытия;</w:t>
            </w:r>
            <w:proofErr w:type="gramEnd"/>
            <w:r w:rsidRPr="00C8331B">
              <w:rPr>
                <w:rFonts w:eastAsia="Times New Roman"/>
                <w:lang w:eastAsia="ru-RU"/>
              </w:rPr>
              <w:t xml:space="preserve"> ржавление и разрушение свесов, протечка кровли местами. Отсутствие гидроизоляции на стыках лотков водосборного желоба на 5-ти этажной секции</w:t>
            </w:r>
          </w:p>
        </w:tc>
      </w:tr>
      <w:tr w:rsidR="00C8331B" w:rsidRPr="00C8331B" w:rsidTr="007C7B17">
        <w:trPr>
          <w:trHeight w:val="96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 - 35 %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7C7B17">
              <w:rPr>
                <w:rFonts w:eastAsia="Times New Roman"/>
                <w:vertAlign w:val="superscript"/>
                <w:lang w:eastAsia="ru-RU"/>
              </w:rPr>
              <w:t>2</w:t>
            </w:r>
            <w:proofErr w:type="gramEnd"/>
            <w:r w:rsidRPr="00C8331B">
              <w:rPr>
                <w:rFonts w:eastAsia="Times New Roman"/>
                <w:lang w:eastAsia="ru-RU"/>
              </w:rPr>
              <w:t xml:space="preserve"> на площади до 25 %</w:t>
            </w:r>
          </w:p>
        </w:tc>
      </w:tr>
      <w:tr w:rsidR="00C8331B" w:rsidRPr="00C8331B" w:rsidTr="007C7B17">
        <w:trPr>
          <w:trHeight w:val="99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- 15 %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C8331B" w:rsidRPr="00C8331B" w:rsidTr="007C7B17">
        <w:trPr>
          <w:trHeight w:val="983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удовлетворительное. Процент износа  - 25 %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В ходе визуального осмотра дефектов не выявлено.</w:t>
            </w:r>
          </w:p>
        </w:tc>
      </w:tr>
      <w:tr w:rsidR="00C8331B" w:rsidRPr="00C8331B" w:rsidTr="007C7B17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7C7B17" w:rsidP="00C8331B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Состояние удовлетвори</w:t>
            </w:r>
            <w:r w:rsidR="00C8331B" w:rsidRPr="00C8331B">
              <w:rPr>
                <w:rFonts w:eastAsia="Times New Roman"/>
                <w:lang w:eastAsia="ru-RU"/>
              </w:rPr>
              <w:t>тельное. Процент износа  - 25 %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В ходе визуального осмотра дефектов не выявлено.</w:t>
            </w:r>
          </w:p>
        </w:tc>
      </w:tr>
      <w:tr w:rsidR="00C8331B" w:rsidRPr="00C8331B" w:rsidTr="007C7B17">
        <w:trPr>
          <w:trHeight w:val="97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7C7B17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- 15 %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В ходе визуального осмотра дефектов не выявлено.</w:t>
            </w:r>
          </w:p>
        </w:tc>
      </w:tr>
      <w:tr w:rsidR="00C8331B" w:rsidRPr="00C8331B" w:rsidTr="007C7B17">
        <w:trPr>
          <w:trHeight w:val="296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7C7B17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7C7B17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 - 55 %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7C7B17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Штукатурка -  глубокие трещины, мелкие пробоины, отслоение накрывочного слоя местами в углах и сопряжениях панелей. Окраска водными составами - местные единичные повреждения окрасочного слоя, волосные трещины в рустах, в местах сопряжения потолков и стен. Окраска масляными красками - потемнение и загрязнение окрасочного слоя, матовые пятна и потеки</w:t>
            </w:r>
          </w:p>
        </w:tc>
      </w:tr>
      <w:tr w:rsidR="00C8331B" w:rsidRPr="00C8331B" w:rsidTr="007C7B17">
        <w:trPr>
          <w:trHeight w:val="155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 - 50 %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местах. Истёк срок эксплуатации запорной арматуры чугунной.</w:t>
            </w:r>
          </w:p>
        </w:tc>
      </w:tr>
      <w:tr w:rsidR="00C8331B" w:rsidRPr="00C8331B" w:rsidTr="007C7B17">
        <w:trPr>
          <w:trHeight w:val="923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 - 35 %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C8331B" w:rsidRPr="00C8331B" w:rsidTr="007C7B17">
        <w:trPr>
          <w:trHeight w:val="95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удовлетворительное. Процент износа  - 35 %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C8331B" w:rsidRPr="00C8331B" w:rsidTr="007C7B17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удовлетворительное. Процент износа - 35%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C8331B" w:rsidRPr="00C8331B" w:rsidTr="007C7B17">
        <w:trPr>
          <w:trHeight w:val="281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неудовлетворительное. Процент износа  - 75 %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Неисправность запорной арматуры (Истёк предельный срок эксплуатации);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  <w:proofErr w:type="gramStart"/>
            <w:r w:rsidRPr="00C8331B">
              <w:rPr>
                <w:rFonts w:eastAsia="Times New Roman"/>
                <w:lang w:eastAsia="ru-RU"/>
              </w:rPr>
              <w:t xml:space="preserve"> И</w:t>
            </w:r>
            <w:proofErr w:type="gramEnd"/>
            <w:r w:rsidRPr="00C8331B">
              <w:rPr>
                <w:rFonts w:eastAsia="Times New Roman"/>
                <w:lang w:eastAsia="ru-RU"/>
              </w:rPr>
              <w:t xml:space="preserve">стёк </w:t>
            </w:r>
            <w:r w:rsidR="007C7B17">
              <w:rPr>
                <w:rFonts w:eastAsia="Times New Roman"/>
                <w:lang w:eastAsia="ru-RU"/>
              </w:rPr>
              <w:t>предельный срок эксплуатации ст</w:t>
            </w:r>
            <w:r w:rsidRPr="00C8331B">
              <w:rPr>
                <w:rFonts w:eastAsia="Times New Roman"/>
                <w:lang w:eastAsia="ru-RU"/>
              </w:rPr>
              <w:t xml:space="preserve">ояков стальных, магистралей из труб стальных чёрных </w:t>
            </w:r>
          </w:p>
        </w:tc>
      </w:tr>
      <w:tr w:rsidR="00C8331B" w:rsidRPr="00C8331B" w:rsidTr="007C7B17">
        <w:trPr>
          <w:trHeight w:val="913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удовлетворительное. Процент износа  - 35%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C8331B" w:rsidRPr="00C8331B" w:rsidTr="007C7B17">
        <w:trPr>
          <w:trHeight w:val="163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удовлетворительное. Процент износа  - 75%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Ослабление сальниковых набивок и прокладок запорной арматуры, повреждение окраски т</w:t>
            </w:r>
            <w:r w:rsidR="007C7B17">
              <w:rPr>
                <w:rFonts w:eastAsia="Times New Roman"/>
                <w:lang w:eastAsia="ru-RU"/>
              </w:rPr>
              <w:t xml:space="preserve">рубопроводов в отдельных местах. </w:t>
            </w:r>
            <w:r w:rsidRPr="00C8331B">
              <w:rPr>
                <w:rFonts w:eastAsia="Times New Roman"/>
                <w:lang w:eastAsia="ru-RU"/>
              </w:rPr>
              <w:t>Массовое сужение просветов труб стояков известковой накипью. Полное расстройство системы</w:t>
            </w:r>
          </w:p>
        </w:tc>
      </w:tr>
      <w:tr w:rsidR="00C8331B" w:rsidRPr="00C8331B" w:rsidTr="007C7B17">
        <w:trPr>
          <w:trHeight w:val="97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неудовлетворительное. Процент износа - 80%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C8331B" w:rsidRPr="00C8331B" w:rsidTr="007C7B17">
        <w:trPr>
          <w:trHeight w:val="41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</w:p>
        </w:tc>
      </w:tr>
      <w:tr w:rsidR="00C8331B" w:rsidRPr="00C8331B" w:rsidTr="007C7B17">
        <w:trPr>
          <w:trHeight w:val="55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Отсутствуют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</w:p>
        </w:tc>
      </w:tr>
      <w:tr w:rsidR="00C8331B" w:rsidRPr="00C8331B" w:rsidTr="007C7B17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удовлетворительное. Процент износа по ВСН 53-86 (Р) - 30%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Повреждения отдельных мест чугунных трубопроводов канализации; </w:t>
            </w:r>
          </w:p>
        </w:tc>
      </w:tr>
      <w:tr w:rsidR="00C8331B" w:rsidRPr="00C8331B" w:rsidTr="007C7B17">
        <w:trPr>
          <w:trHeight w:val="97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удовлетворительное. Процент износа по ВСН 53-86 (Р) - 50%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Отсутствуют.</w:t>
            </w:r>
          </w:p>
        </w:tc>
      </w:tr>
      <w:tr w:rsidR="00C8331B" w:rsidRPr="00C8331B" w:rsidTr="007C7B17">
        <w:trPr>
          <w:trHeight w:val="98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Состояние удовлетворительное. Процент износа по ВСН 53-86 (Р) - 20%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C8331B" w:rsidRPr="00C8331B" w:rsidTr="007C7B17">
        <w:trPr>
          <w:trHeight w:val="98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Состояние удовлетвори</w:t>
            </w:r>
            <w:r w:rsidR="007C7B17">
              <w:rPr>
                <w:rFonts w:eastAsia="Times New Roman"/>
                <w:lang w:eastAsia="ru-RU"/>
              </w:rPr>
              <w:t>те</w:t>
            </w:r>
            <w:r w:rsidRPr="00C8331B">
              <w:rPr>
                <w:rFonts w:eastAsia="Times New Roman"/>
                <w:lang w:eastAsia="ru-RU"/>
              </w:rPr>
              <w:t>льное. Процент износа по ВСН 53-86 (Р) 20%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Самовольно заделан вентиляционный стояк в </w:t>
            </w:r>
            <w:proofErr w:type="spellStart"/>
            <w:r w:rsidRPr="00C8331B">
              <w:rPr>
                <w:rFonts w:eastAsia="Times New Roman"/>
                <w:lang w:eastAsia="ru-RU"/>
              </w:rPr>
              <w:t>сантехузле</w:t>
            </w:r>
            <w:proofErr w:type="spellEnd"/>
            <w:r w:rsidRPr="00C8331B">
              <w:rPr>
                <w:rFonts w:eastAsia="Times New Roman"/>
                <w:lang w:eastAsia="ru-RU"/>
              </w:rPr>
              <w:t xml:space="preserve"> кв. 150,153, 156, 159, 162,</w:t>
            </w:r>
          </w:p>
        </w:tc>
      </w:tr>
      <w:tr w:rsidR="00C8331B" w:rsidRPr="00C8331B" w:rsidTr="007C7B17">
        <w:trPr>
          <w:trHeight w:val="126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в 1-3 подъездах - не используется по решению собственников, в 4-7 подъездах - отсутствует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</w:p>
        </w:tc>
      </w:tr>
      <w:tr w:rsidR="00C8331B" w:rsidRPr="00C8331B" w:rsidTr="007C7B17">
        <w:trPr>
          <w:trHeight w:val="67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</w:p>
        </w:tc>
      </w:tr>
      <w:tr w:rsidR="00C8331B" w:rsidRPr="00C8331B" w:rsidTr="007C7B17">
        <w:trPr>
          <w:trHeight w:val="55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</w:p>
        </w:tc>
      </w:tr>
      <w:tr w:rsidR="00C8331B" w:rsidRPr="00C8331B" w:rsidTr="007C7B17">
        <w:trPr>
          <w:trHeight w:val="133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C8331B">
              <w:rPr>
                <w:rFonts w:eastAsia="Times New Roman"/>
                <w:lang w:eastAsia="ru-RU"/>
              </w:rPr>
              <w:t>а ООО</w:t>
            </w:r>
            <w:proofErr w:type="gramEnd"/>
            <w:r w:rsidRPr="00C8331B">
              <w:rPr>
                <w:rFonts w:eastAsia="Times New Roman"/>
                <w:lang w:eastAsia="ru-RU"/>
              </w:rPr>
              <w:t xml:space="preserve"> "УК СТАНДАРТ" не обслуживаются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 </w:t>
            </w:r>
          </w:p>
        </w:tc>
      </w:tr>
      <w:tr w:rsidR="00795785" w:rsidRPr="00C8331B" w:rsidTr="00644A86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785" w:rsidRPr="00C8331B" w:rsidRDefault="00795785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785" w:rsidRPr="00C8331B" w:rsidRDefault="00795785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1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785" w:rsidRPr="00C8331B" w:rsidRDefault="00795785" w:rsidP="00C8331B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795785">
              <w:rPr>
                <w:rFonts w:eastAsia="Times New Roman"/>
                <w:lang w:eastAsia="ru-RU"/>
              </w:rPr>
              <w:t>По сведениям специализированной организации, обслуживающей лифтовое хозяйство, величина физического износа: лифты: в 1-ом подъезде – заводской номер 58232, год ввода в эксплуатацию 2010 - 5%, во 2-ом подъезде - заводской номер 58231, год ввода в эксплуатацию 2010 - 5%, в 3-ем подъезде – заводской номер 58230, год ввода в эксплуатацию 2010 - 5%. В ВСН 53-86 (Р) отсутствуют данные в отношении элемента "лифтовое хозяйство" для выявления</w:t>
            </w:r>
            <w:proofErr w:type="gramEnd"/>
            <w:r w:rsidRPr="00795785">
              <w:rPr>
                <w:rFonts w:eastAsia="Times New Roman"/>
                <w:lang w:eastAsia="ru-RU"/>
              </w:rPr>
              <w:t xml:space="preserve"> дефектов визуальным способом.</w:t>
            </w:r>
          </w:p>
        </w:tc>
      </w:tr>
      <w:tr w:rsidR="00C8331B" w:rsidRPr="00C8331B" w:rsidTr="00C8331B">
        <w:trPr>
          <w:trHeight w:val="278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C7B17" w:rsidRPr="00C8331B" w:rsidTr="00975412">
        <w:trPr>
          <w:trHeight w:val="1524"/>
        </w:trPr>
        <w:tc>
          <w:tcPr>
            <w:tcW w:w="1461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C7B17" w:rsidRPr="00C8331B" w:rsidRDefault="007C7B17" w:rsidP="007C7B1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  <w:p w:rsidR="007C7B17" w:rsidRPr="00C8331B" w:rsidRDefault="007C7B17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На основании результатов общего (весеннего) осмотра комиссия считает, что здание многоквартирного дома по адресу:   г. Владивосток, ул.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8331B">
              <w:rPr>
                <w:rFonts w:eastAsia="Times New Roman"/>
                <w:color w:val="000000"/>
                <w:lang w:eastAsia="ru-RU"/>
              </w:rPr>
              <w:t>Давыдова, 29, находится в работоспособном состоянии. Необходимо проведение следующих работ:</w:t>
            </w:r>
          </w:p>
        </w:tc>
      </w:tr>
      <w:tr w:rsidR="00C8331B" w:rsidRPr="00C8331B" w:rsidTr="007C7B17">
        <w:trPr>
          <w:trHeight w:val="409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8331B" w:rsidRPr="00C8331B" w:rsidRDefault="00C8331B" w:rsidP="00C8331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8331B" w:rsidRPr="00C8331B" w:rsidRDefault="00C8331B" w:rsidP="00C8331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8331B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C8331B" w:rsidRPr="00C8331B" w:rsidTr="00975412">
        <w:trPr>
          <w:trHeight w:val="62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1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 xml:space="preserve">Цоколь,  Общие коридоры и тамбуры  </w:t>
            </w:r>
            <w:proofErr w:type="gramStart"/>
            <w:r w:rsidRPr="00C8331B">
              <w:rPr>
                <w:rFonts w:eastAsia="Times New Roman"/>
                <w:color w:val="000000"/>
                <w:lang w:eastAsia="ru-RU"/>
              </w:rPr>
              <w:t>Стены</w:t>
            </w:r>
            <w:proofErr w:type="gramEnd"/>
            <w:r w:rsidRPr="00C8331B">
              <w:rPr>
                <w:rFonts w:eastAsia="Times New Roman"/>
                <w:color w:val="000000"/>
                <w:lang w:eastAsia="ru-RU"/>
              </w:rPr>
              <w:t xml:space="preserve"> наружные Фасад Несущие и ограждающие конструкции, Электроснабжение,  система водоотведения.                 </w:t>
            </w:r>
          </w:p>
        </w:tc>
      </w:tr>
      <w:tr w:rsidR="00C8331B" w:rsidRPr="00C8331B" w:rsidTr="007C7B17">
        <w:trPr>
          <w:trHeight w:val="889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lang w:eastAsia="ru-RU"/>
              </w:rPr>
            </w:pPr>
            <w:r w:rsidRPr="00C8331B">
              <w:rPr>
                <w:rFonts w:eastAsia="Times New Roman"/>
                <w:lang w:eastAsia="ru-RU"/>
              </w:rPr>
              <w:t>Система горячего водоснабжения, Система ХВС, общедомовые узлы Х</w:t>
            </w:r>
            <w:r w:rsidR="008809FB">
              <w:rPr>
                <w:rFonts w:eastAsia="Times New Roman"/>
                <w:lang w:eastAsia="ru-RU"/>
              </w:rPr>
              <w:t xml:space="preserve">ВС, отмостка, водостоки, кровля, </w:t>
            </w:r>
            <w:r w:rsidRPr="00C8331B">
              <w:rPr>
                <w:rFonts w:eastAsia="Times New Roman"/>
                <w:lang w:eastAsia="ru-RU"/>
              </w:rPr>
              <w:t xml:space="preserve">система холодного водоснабжения, </w:t>
            </w:r>
          </w:p>
        </w:tc>
      </w:tr>
      <w:tr w:rsidR="00C8331B" w:rsidRPr="00C8331B" w:rsidTr="007C7B17">
        <w:trPr>
          <w:trHeight w:val="1025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31B" w:rsidRPr="00C8331B" w:rsidRDefault="00C8331B" w:rsidP="00C8331B">
            <w:pPr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1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1B" w:rsidRPr="00C8331B" w:rsidRDefault="00C8331B" w:rsidP="00C8331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8331B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энергоэффективности.</w:t>
            </w:r>
          </w:p>
        </w:tc>
      </w:tr>
      <w:tr w:rsidR="007C7B17" w:rsidRPr="00C8331B" w:rsidTr="007C7B17">
        <w:trPr>
          <w:trHeight w:val="4032"/>
        </w:trPr>
        <w:tc>
          <w:tcPr>
            <w:tcW w:w="1461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C7B17" w:rsidRPr="00C8331B" w:rsidRDefault="007C7B17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7C7B17" w:rsidRPr="007C7B17" w:rsidRDefault="007C7B17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C7B17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7C7B17" w:rsidRPr="007C7B17" w:rsidRDefault="007C7B17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C7B17">
              <w:rPr>
                <w:rFonts w:eastAsia="Times New Roman"/>
                <w:color w:val="000000"/>
                <w:lang w:eastAsia="ru-RU"/>
              </w:rPr>
              <w:t xml:space="preserve">Главный инженер ООО "УК СТАНДАРТ" </w:t>
            </w:r>
            <w:r w:rsidR="00795785">
              <w:rPr>
                <w:rFonts w:eastAsia="Times New Roman"/>
                <w:color w:val="000000"/>
                <w:lang w:eastAsia="ru-RU"/>
              </w:rPr>
              <w:t>Цылев А.А.</w:t>
            </w:r>
          </w:p>
          <w:p w:rsidR="007C7B17" w:rsidRPr="007C7B17" w:rsidRDefault="007C7B17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7C7B17" w:rsidRPr="007C7B17" w:rsidRDefault="007C7B17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C7B17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7C7B17" w:rsidRPr="007C7B17" w:rsidRDefault="007C7B17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C7B17">
              <w:rPr>
                <w:rFonts w:eastAsia="Times New Roman"/>
                <w:color w:val="000000"/>
                <w:lang w:eastAsia="ru-RU"/>
              </w:rPr>
              <w:t>Заместитель генераль</w:t>
            </w:r>
            <w:r>
              <w:rPr>
                <w:rFonts w:eastAsia="Times New Roman"/>
                <w:color w:val="000000"/>
                <w:lang w:eastAsia="ru-RU"/>
              </w:rPr>
              <w:t>ного директор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а ООО У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К СТАНДАРТ:  </w:t>
            </w:r>
            <w:r w:rsidRPr="007C7B17">
              <w:rPr>
                <w:rFonts w:eastAsia="Times New Roman"/>
                <w:color w:val="000000"/>
                <w:lang w:eastAsia="ru-RU"/>
              </w:rPr>
              <w:t xml:space="preserve">  Климовский А.Д.</w:t>
            </w:r>
          </w:p>
          <w:p w:rsidR="007C7B17" w:rsidRPr="00C8331B" w:rsidRDefault="007C7B17" w:rsidP="007C7B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C7B17">
              <w:rPr>
                <w:rFonts w:eastAsia="Times New Roman"/>
                <w:color w:val="000000"/>
                <w:lang w:eastAsia="ru-RU"/>
              </w:rPr>
              <w:t>представитель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собственников помещений:  </w:t>
            </w:r>
            <w:r w:rsidRPr="007C7B17">
              <w:rPr>
                <w:rFonts w:eastAsia="Times New Roman"/>
                <w:color w:val="000000"/>
                <w:lang w:eastAsia="ru-RU"/>
              </w:rPr>
              <w:t>Степановский А.И</w:t>
            </w:r>
          </w:p>
        </w:tc>
      </w:tr>
    </w:tbl>
    <w:p w:rsidR="00C8331B" w:rsidRPr="00C8331B" w:rsidRDefault="00C8331B"/>
    <w:sectPr w:rsidR="00C8331B" w:rsidRPr="00C8331B" w:rsidSect="007C7B17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96"/>
    <w:rsid w:val="000C2D7B"/>
    <w:rsid w:val="000C3D6A"/>
    <w:rsid w:val="001851B4"/>
    <w:rsid w:val="00293896"/>
    <w:rsid w:val="003F4B7E"/>
    <w:rsid w:val="00581D71"/>
    <w:rsid w:val="00736DC5"/>
    <w:rsid w:val="007634AE"/>
    <w:rsid w:val="00795785"/>
    <w:rsid w:val="007C7B17"/>
    <w:rsid w:val="008809FB"/>
    <w:rsid w:val="00975412"/>
    <w:rsid w:val="00C8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2021-08-20T00:57:00Z</dcterms:created>
  <dcterms:modified xsi:type="dcterms:W3CDTF">2022-06-08T01:23:00Z</dcterms:modified>
</cp:coreProperties>
</file>