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6"/>
        <w:gridCol w:w="899"/>
        <w:gridCol w:w="1613"/>
        <w:gridCol w:w="1215"/>
        <w:gridCol w:w="741"/>
        <w:gridCol w:w="1278"/>
        <w:gridCol w:w="1148"/>
        <w:gridCol w:w="1038"/>
        <w:gridCol w:w="1649"/>
        <w:gridCol w:w="1038"/>
        <w:gridCol w:w="1078"/>
        <w:gridCol w:w="2036"/>
      </w:tblGrid>
      <w:tr w:rsidR="00CA4211" w:rsidRPr="00CA4211" w:rsidTr="00405EA1">
        <w:trPr>
          <w:trHeight w:val="31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211" w:rsidRPr="00CA4211" w:rsidTr="00405EA1">
        <w:trPr>
          <w:trHeight w:val="405"/>
        </w:trPr>
        <w:tc>
          <w:tcPr>
            <w:tcW w:w="147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</w:p>
        </w:tc>
      </w:tr>
      <w:tr w:rsidR="00CA4211" w:rsidRPr="00CA4211" w:rsidTr="00405EA1">
        <w:trPr>
          <w:trHeight w:val="405"/>
        </w:trPr>
        <w:tc>
          <w:tcPr>
            <w:tcW w:w="147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ОБЩЕГО (ВЕСЕННЕГО) ОСМОТРА ОБЩЕГО ИМУЩЕСТВА</w:t>
            </w:r>
          </w:p>
        </w:tc>
      </w:tr>
      <w:tr w:rsidR="00CA4211" w:rsidRPr="00CA4211" w:rsidTr="00405EA1">
        <w:trPr>
          <w:trHeight w:val="405"/>
        </w:trPr>
        <w:tc>
          <w:tcPr>
            <w:tcW w:w="147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</w:tc>
      </w:tr>
      <w:tr w:rsidR="00CA4211" w:rsidRPr="00CA4211" w:rsidTr="00405EA1">
        <w:trPr>
          <w:trHeight w:val="420"/>
        </w:trPr>
        <w:tc>
          <w:tcPr>
            <w:tcW w:w="1479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ул. Амурская 1</w:t>
            </w:r>
          </w:p>
        </w:tc>
      </w:tr>
      <w:tr w:rsidR="00CA4211" w:rsidRPr="00CA4211" w:rsidTr="00405EA1">
        <w:trPr>
          <w:trHeight w:val="40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20"/>
        </w:trPr>
        <w:tc>
          <w:tcPr>
            <w:tcW w:w="357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г. Владивосток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  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636171" w:rsidP="00636171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="00CA4211" w:rsidRPr="00CA4211">
              <w:rPr>
                <w:rFonts w:eastAsia="Times New Roman"/>
                <w:color w:val="000000"/>
                <w:lang w:eastAsia="ru-RU"/>
              </w:rPr>
              <w:t>1 мая 202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="00CA4211" w:rsidRPr="00CA4211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CA4211" w:rsidRPr="00CA4211" w:rsidTr="00405EA1">
        <w:trPr>
          <w:trHeight w:val="405"/>
        </w:trPr>
        <w:tc>
          <w:tcPr>
            <w:tcW w:w="357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(населенный пункт)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05"/>
        </w:trPr>
        <w:tc>
          <w:tcPr>
            <w:tcW w:w="147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CA4211" w:rsidRPr="00CA4211" w:rsidTr="00405EA1">
        <w:trPr>
          <w:trHeight w:val="4287"/>
        </w:trPr>
        <w:tc>
          <w:tcPr>
            <w:tcW w:w="357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2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CA4211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CA4211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CA4211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CA4211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CA4211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CA4211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CA4211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CA4211">
              <w:rPr>
                <w:rFonts w:eastAsia="Times New Roman"/>
                <w:color w:val="000000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CA4211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CA4211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CA4211">
              <w:rPr>
                <w:rFonts w:eastAsia="Times New Roman"/>
                <w:color w:val="000000"/>
                <w:lang w:eastAsia="ru-RU"/>
              </w:rPr>
              <w:br/>
              <w:t>Генеральный директор: Чернега Наталья Алексеевна</w:t>
            </w:r>
          </w:p>
        </w:tc>
      </w:tr>
      <w:tr w:rsidR="00CA4211" w:rsidRPr="00CA4211" w:rsidTr="00405EA1">
        <w:trPr>
          <w:trHeight w:val="503"/>
        </w:trPr>
        <w:tc>
          <w:tcPr>
            <w:tcW w:w="35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542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  <w:tc>
          <w:tcPr>
            <w:tcW w:w="580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552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(ненужное зачеркнуть)</w:t>
            </w:r>
          </w:p>
        </w:tc>
        <w:tc>
          <w:tcPr>
            <w:tcW w:w="542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0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692"/>
        </w:trPr>
        <w:tc>
          <w:tcPr>
            <w:tcW w:w="4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1967</w:t>
            </w:r>
          </w:p>
        </w:tc>
        <w:tc>
          <w:tcPr>
            <w:tcW w:w="59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211" w:rsidRPr="00CA4211" w:rsidRDefault="00405EA1" w:rsidP="00405EA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2021</w:t>
            </w:r>
          </w:p>
        </w:tc>
      </w:tr>
      <w:tr w:rsidR="00CA4211" w:rsidRPr="00CA4211" w:rsidTr="00405EA1">
        <w:trPr>
          <w:trHeight w:val="300"/>
        </w:trPr>
        <w:tc>
          <w:tcPr>
            <w:tcW w:w="1479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4. Участие в региональных программах, программах Фонда ЖКХ</w:t>
            </w:r>
          </w:p>
        </w:tc>
      </w:tr>
      <w:tr w:rsidR="00CA4211" w:rsidRPr="00CA4211" w:rsidTr="00405EA1">
        <w:trPr>
          <w:trHeight w:val="405"/>
        </w:trPr>
        <w:tc>
          <w:tcPr>
            <w:tcW w:w="681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CA4211" w:rsidRPr="00CA4211" w:rsidTr="00405EA1">
        <w:trPr>
          <w:trHeight w:val="810"/>
        </w:trPr>
        <w:tc>
          <w:tcPr>
            <w:tcW w:w="681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CA4211" w:rsidRPr="00CA4211" w:rsidTr="00405EA1">
        <w:trPr>
          <w:trHeight w:val="405"/>
        </w:trPr>
        <w:tc>
          <w:tcPr>
            <w:tcW w:w="68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Выделено средств всего, 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405EA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405EA1">
              <w:rPr>
                <w:rFonts w:eastAsia="Times New Roman"/>
                <w:color w:val="000000"/>
                <w:lang w:eastAsia="ru-RU"/>
              </w:rPr>
              <w:t>5311565,65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05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405EA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405EA1">
              <w:rPr>
                <w:rFonts w:eastAsia="Times New Roman"/>
                <w:color w:val="000000"/>
                <w:lang w:eastAsia="ru-RU"/>
              </w:rPr>
              <w:t>5311565,65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05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405EA1" w:rsidP="00405EA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05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405EA1" w:rsidP="00405EA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64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405EA1" w:rsidP="00405EA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20"/>
        </w:trPr>
        <w:tc>
          <w:tcPr>
            <w:tcW w:w="106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20"/>
        </w:trPr>
        <w:tc>
          <w:tcPr>
            <w:tcW w:w="147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CA4211" w:rsidRPr="00CA4211" w:rsidTr="00CD1A17">
        <w:trPr>
          <w:trHeight w:val="657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211" w:rsidRPr="00CA4211" w:rsidRDefault="002C62AE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51</w:t>
            </w:r>
            <w:r w:rsidR="00CA4211" w:rsidRPr="00CA4211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4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43</w:t>
            </w:r>
          </w:p>
        </w:tc>
      </w:tr>
      <w:tr w:rsidR="00CA4211" w:rsidRPr="00CA4211" w:rsidTr="00CD1A17">
        <w:trPr>
          <w:trHeight w:val="1263"/>
        </w:trPr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D1A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r w:rsidR="00CD1A1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r w:rsidRPr="00CA4211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211" w:rsidRPr="00CA4211" w:rsidRDefault="002C62AE" w:rsidP="00666BC9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</w:t>
            </w:r>
            <w:r w:rsidR="00666BC9">
              <w:rPr>
                <w:rFonts w:eastAsia="Times New Roman"/>
                <w:color w:val="000000"/>
                <w:lang w:eastAsia="ru-RU"/>
              </w:rPr>
              <w:t>2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="00CA4211" w:rsidRPr="00CA4211">
              <w:rPr>
                <w:rFonts w:eastAsia="Times New Roman"/>
                <w:color w:val="000000"/>
                <w:lang w:eastAsia="ru-RU"/>
              </w:rPr>
              <w:t>.</w:t>
            </w:r>
            <w:r w:rsidR="00666BC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D1A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общая площадь жилых помещений,м</w:t>
            </w:r>
            <w:r w:rsidR="00CD1A1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A4211" w:rsidRPr="00CA4211" w:rsidRDefault="00CA4211" w:rsidP="00CD1A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1842.0</w:t>
            </w: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D1A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r w:rsidR="00CD1A1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r w:rsidRPr="00CA4211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4211" w:rsidRPr="00CA4211" w:rsidRDefault="00CA4211" w:rsidP="00CD1A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50.4</w:t>
            </w:r>
          </w:p>
        </w:tc>
        <w:tc>
          <w:tcPr>
            <w:tcW w:w="2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D1A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общая п</w:t>
            </w:r>
            <w:r w:rsidR="00CD1A17">
              <w:rPr>
                <w:rFonts w:eastAsia="Times New Roman"/>
                <w:color w:val="000000"/>
                <w:lang w:eastAsia="ru-RU"/>
              </w:rPr>
              <w:t>лощадь мест общего пользования,</w:t>
            </w:r>
            <w:r w:rsidRPr="00CA4211">
              <w:rPr>
                <w:rFonts w:eastAsia="Times New Roman"/>
                <w:color w:val="000000"/>
                <w:lang w:eastAsia="ru-RU"/>
              </w:rPr>
              <w:t>м</w:t>
            </w:r>
            <w:r w:rsidR="00CD1A17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D1A1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509.6</w:t>
            </w:r>
          </w:p>
        </w:tc>
      </w:tr>
      <w:tr w:rsidR="00CA4211" w:rsidRPr="00CA4211" w:rsidTr="00405EA1">
        <w:trPr>
          <w:trHeight w:val="349"/>
        </w:trPr>
        <w:tc>
          <w:tcPr>
            <w:tcW w:w="1479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CA4211" w:rsidRPr="00CA4211" w:rsidTr="00405EA1">
        <w:trPr>
          <w:trHeight w:val="68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CA4211" w:rsidRPr="00CA4211" w:rsidTr="00405EA1">
        <w:trPr>
          <w:trHeight w:val="40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390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0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0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398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0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lastRenderedPageBreak/>
              <w:t>газовый ввод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09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492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211" w:rsidRPr="00CA4211" w:rsidTr="00405EA1">
        <w:trPr>
          <w:trHeight w:val="368"/>
        </w:trPr>
        <w:tc>
          <w:tcPr>
            <w:tcW w:w="1479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CA4211" w:rsidRPr="00CA4211" w:rsidTr="00CD1A17">
        <w:trPr>
          <w:trHeight w:val="386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405EA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площадь, м</w:t>
            </w:r>
            <w:r w:rsidR="00405EA1"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CA4211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CA4211" w:rsidRPr="00CA4211" w:rsidTr="00405EA1">
        <w:trPr>
          <w:trHeight w:val="424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405EA1">
            <w:pPr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424.16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 xml:space="preserve">Крыша плоская,  кровля рулонная. Водосток </w:t>
            </w:r>
            <w:r w:rsidR="00DC04EF">
              <w:rPr>
                <w:rFonts w:eastAsia="Times New Roman"/>
                <w:color w:val="000000"/>
                <w:lang w:eastAsia="ru-RU"/>
              </w:rPr>
              <w:t xml:space="preserve">наружный </w:t>
            </w:r>
            <w:r w:rsidRPr="00CA4211">
              <w:rPr>
                <w:rFonts w:eastAsia="Times New Roman"/>
                <w:color w:val="000000"/>
                <w:lang w:eastAsia="ru-RU"/>
              </w:rPr>
              <w:t>неорганизованный</w:t>
            </w:r>
          </w:p>
        </w:tc>
      </w:tr>
      <w:tr w:rsidR="00CA4211" w:rsidRPr="00CA4211" w:rsidTr="00405EA1">
        <w:trPr>
          <w:trHeight w:val="416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372429" w:rsidP="00405EA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970.97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Фасад из несущих  панелей с заводской отделкой.</w:t>
            </w:r>
          </w:p>
        </w:tc>
      </w:tr>
      <w:tr w:rsidR="00372429" w:rsidRPr="00CA4211" w:rsidTr="00405EA1">
        <w:trPr>
          <w:trHeight w:val="416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429" w:rsidRPr="00CA4211" w:rsidRDefault="00CD1A17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Межпанельные швы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429" w:rsidRPr="00CA4211" w:rsidRDefault="00372429" w:rsidP="00405EA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1227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2429" w:rsidRPr="00CA4211" w:rsidRDefault="00372429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72429">
              <w:rPr>
                <w:rFonts w:eastAsia="Times New Roman"/>
                <w:color w:val="000000"/>
                <w:lang w:eastAsia="ru-RU"/>
              </w:rPr>
              <w:t>Жгут для межпанельных швов "ВИЛАТЕРМ" 20, мастика ТЭКТОР 201</w:t>
            </w:r>
          </w:p>
        </w:tc>
      </w:tr>
      <w:tr w:rsidR="00CA4211" w:rsidRPr="00CA4211" w:rsidTr="00405EA1">
        <w:trPr>
          <w:trHeight w:val="421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405EA1" w:rsidP="00405EA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Сведения отсутствуют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405EA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Гипсолитовые п</w:t>
            </w:r>
            <w:r w:rsidR="00CA4211" w:rsidRPr="00CA4211">
              <w:rPr>
                <w:rFonts w:eastAsia="Times New Roman"/>
                <w:color w:val="000000"/>
                <w:lang w:eastAsia="ru-RU"/>
              </w:rPr>
              <w:t>анели.</w:t>
            </w:r>
          </w:p>
        </w:tc>
      </w:tr>
      <w:tr w:rsidR="00CA4211" w:rsidRPr="00CA4211" w:rsidTr="00405EA1">
        <w:trPr>
          <w:trHeight w:val="392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405EA1">
            <w:pPr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1273.54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Железобетонные плиты.</w:t>
            </w:r>
            <w:r w:rsidR="003D50D6">
              <w:t xml:space="preserve"> </w:t>
            </w:r>
            <w:r w:rsidR="003D50D6" w:rsidRPr="003D50D6">
              <w:rPr>
                <w:rFonts w:eastAsia="Times New Roman"/>
                <w:color w:val="000000"/>
                <w:lang w:eastAsia="ru-RU"/>
              </w:rPr>
              <w:t>Высота сечения плит - 100 мм. Плиты опираются на стены, узел опирания - жёсткий.</w:t>
            </w:r>
          </w:p>
        </w:tc>
      </w:tr>
      <w:tr w:rsidR="00CA4211" w:rsidRPr="00CA4211" w:rsidTr="00405EA1">
        <w:trPr>
          <w:trHeight w:val="1081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405EA1">
            <w:pPr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175.0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Лестничные марши выполнены из железобетонных сборных конструкций. Ограждения – деревянные перила по металлическим ограждениям с креплением через закладные детали.</w:t>
            </w:r>
          </w:p>
        </w:tc>
      </w:tr>
      <w:tr w:rsidR="00CA4211" w:rsidRPr="00CA4211" w:rsidTr="00405EA1">
        <w:trPr>
          <w:trHeight w:val="380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405EA1">
            <w:pPr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162.41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Фундамент ленточный из железобетонных блоков.</w:t>
            </w:r>
          </w:p>
        </w:tc>
      </w:tr>
      <w:tr w:rsidR="0049614B" w:rsidRPr="00CA4211" w:rsidTr="00405EA1">
        <w:trPr>
          <w:trHeight w:val="380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14B" w:rsidRPr="00CA4211" w:rsidRDefault="0049614B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отмостка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14B" w:rsidRPr="00CA4211" w:rsidRDefault="0049614B" w:rsidP="00405EA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58.2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9614B" w:rsidRPr="00CA4211" w:rsidRDefault="006459D2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Бетон</w:t>
            </w:r>
            <w:bookmarkStart w:id="0" w:name="_GoBack"/>
            <w:bookmarkEnd w:id="0"/>
          </w:p>
        </w:tc>
      </w:tr>
      <w:tr w:rsidR="00CA4211" w:rsidRPr="00CA4211" w:rsidTr="00405EA1">
        <w:trPr>
          <w:trHeight w:val="332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405EA1">
            <w:pPr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212.2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Стены – фундаментные блоки</w:t>
            </w:r>
          </w:p>
        </w:tc>
      </w:tr>
      <w:tr w:rsidR="00CA4211" w:rsidRPr="00CA4211" w:rsidTr="00405EA1">
        <w:trPr>
          <w:trHeight w:val="419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2C62AE" w:rsidP="00405EA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CA4211" w:rsidRPr="00CA4211" w:rsidTr="00405EA1">
        <w:trPr>
          <w:trHeight w:val="924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2C62AE" w:rsidP="00405EA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Входные двери металлические, оборудованы домофоном.  Тамбурные двери отсутствуют. Двери в подвалы - металлические, выходы на кровлю - деревянные, обитые металлом.</w:t>
            </w:r>
          </w:p>
        </w:tc>
      </w:tr>
      <w:tr w:rsidR="00CA4211" w:rsidRPr="00CA4211" w:rsidTr="00405EA1">
        <w:trPr>
          <w:trHeight w:val="450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придомовая территория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405EA1">
            <w:pPr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1 159</w:t>
            </w:r>
          </w:p>
        </w:tc>
        <w:tc>
          <w:tcPr>
            <w:tcW w:w="926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Установлена контейнерная площадка.</w:t>
            </w:r>
          </w:p>
        </w:tc>
      </w:tr>
      <w:tr w:rsidR="00CA4211" w:rsidRPr="00CA4211" w:rsidTr="00CD1A17">
        <w:trPr>
          <w:trHeight w:val="254"/>
        </w:trPr>
        <w:tc>
          <w:tcPr>
            <w:tcW w:w="1479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CA4211" w:rsidRPr="00CA4211" w:rsidTr="00405EA1">
        <w:trPr>
          <w:trHeight w:val="456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описание</w:t>
            </w:r>
          </w:p>
        </w:tc>
      </w:tr>
      <w:tr w:rsidR="00CA4211" w:rsidRPr="00CA4211" w:rsidTr="00405EA1">
        <w:trPr>
          <w:trHeight w:val="2971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D125D7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D125D7">
              <w:rPr>
                <w:rFonts w:eastAsia="Times New Roman"/>
                <w:color w:val="000000"/>
                <w:lang w:eastAsia="ru-RU"/>
              </w:rPr>
              <w:t>Централизованного типа от городских электросетей через трансформаторную подстанцию.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125D7">
              <w:rPr>
                <w:rFonts w:eastAsia="Times New Roman"/>
                <w:color w:val="000000"/>
                <w:lang w:eastAsia="ru-RU"/>
              </w:rPr>
              <w:t>Кабель ввода проложен подземным способом, через ограждающие конструкции в ВРУ, расположенное в помещении цокольного этажа  2-го подъезда. Из помещения ВРУ силовой кабель разведён в поэтажные распределительные  силовые щиты. Групповая сеть выполнена скрытым способом в конструкциях внутренних стен и перекрытий выполнена проводами марок АВВУГ, ВВГ,</w:t>
            </w:r>
            <w:r w:rsidR="00CD1A1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125D7">
              <w:rPr>
                <w:rFonts w:eastAsia="Times New Roman"/>
                <w:color w:val="000000"/>
                <w:lang w:eastAsia="ru-RU"/>
              </w:rPr>
              <w:t>КВВГ. Напряжение в сети рабочего освещения 220В. На стенах и потолках смонтированы одно-двухклавишные выключатели, осветительные приборы.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125D7">
              <w:rPr>
                <w:rFonts w:eastAsia="Times New Roman"/>
                <w:color w:val="000000"/>
                <w:lang w:eastAsia="ru-RU"/>
              </w:rPr>
              <w:t>Установлены 2 измерительных комплекса электроснабжения (собственность "МУПВ ВПЭС")</w:t>
            </w:r>
          </w:p>
        </w:tc>
      </w:tr>
      <w:tr w:rsidR="00CA4211" w:rsidRPr="00CA4211" w:rsidTr="00405EA1">
        <w:trPr>
          <w:trHeight w:val="1979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405EA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Ц</w:t>
            </w:r>
            <w:r w:rsidR="00CA4211" w:rsidRPr="00CA4211">
              <w:rPr>
                <w:rFonts w:eastAsia="Times New Roman"/>
                <w:color w:val="000000"/>
                <w:lang w:eastAsia="ru-RU"/>
              </w:rPr>
              <w:t xml:space="preserve">ентрализованного типа от городских инженерных сетей МУПВ "ВПЭС". Устроен тепловой узел в районе 1-го подъезда. Водоснабжение предусмотрено  </w:t>
            </w:r>
            <w:r>
              <w:rPr>
                <w:rFonts w:eastAsia="Times New Roman"/>
                <w:color w:val="000000"/>
                <w:lang w:eastAsia="ru-RU"/>
              </w:rPr>
              <w:t xml:space="preserve">по закрытой схеме </w:t>
            </w:r>
            <w:r w:rsidR="00CA4211" w:rsidRPr="00CA4211">
              <w:rPr>
                <w:rFonts w:eastAsia="Times New Roman"/>
                <w:color w:val="000000"/>
                <w:lang w:eastAsia="ru-RU"/>
              </w:rPr>
              <w:t>двумя вводами (подача и обратный трубопровод)  Ø 89. Магистральные трубопроводы проложены открыто по подвальному помещению. Внутренняя разводка сетей горячего водоснабжения от магистральных труб до стояков выполнена из стальных труб Ø 45 мм, до потребителей Ø 32 мм.</w:t>
            </w:r>
          </w:p>
        </w:tc>
      </w:tr>
      <w:tr w:rsidR="00CA4211" w:rsidRPr="00CA4211" w:rsidTr="00405EA1">
        <w:trPr>
          <w:trHeight w:val="2261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Централизованного типа от городских инженерных сетей КГУП "Приморский водоканал". Водоснабжение здания предусмотрено от наружной сети одним вводом Ø 100 мм. установлен 1 водомерный узел расположен в техническом подвале в районе 2-ого  подъезда здания. От водомерного узла через все здание проходит магистральные трубопроводы Ø 50 мм, проложенные в подвальном помещении  открытым способом. Внутренняя разводка по зданию вертикального типа, из стальных труб Ø 32 мм. По магистральной горизонтальной разводке смонтированы перекрывающие вентили.</w:t>
            </w:r>
          </w:p>
        </w:tc>
      </w:tr>
      <w:tr w:rsidR="00CA4211" w:rsidRPr="00CA4211" w:rsidTr="00405EA1">
        <w:trPr>
          <w:trHeight w:val="1258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Централизованная, выпуск в городские сети КГУП «Приморский водоканал», выполнено чугунными и пластиковыми трубами( стояки)Ø 100 мм. Магистраль в подвале выполнена пластиковыми трубами Ø 160 мм. Выпуски в колодцы выполнены чугунными трубами Ø 100 мм</w:t>
            </w:r>
          </w:p>
        </w:tc>
      </w:tr>
      <w:tr w:rsidR="00CA4211" w:rsidRPr="00CA4211" w:rsidTr="00405EA1">
        <w:trPr>
          <w:trHeight w:val="2240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lastRenderedPageBreak/>
              <w:t>отопление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DC04EF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DC04EF">
              <w:rPr>
                <w:rFonts w:eastAsia="Times New Roman"/>
                <w:color w:val="000000"/>
                <w:lang w:eastAsia="ru-RU"/>
              </w:rPr>
              <w:t>Зависимая, централизованного типа от городских инженерных сетей, состоящая из трубопроводов подачи и обратки.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C04EF">
              <w:rPr>
                <w:rFonts w:eastAsia="Times New Roman"/>
                <w:color w:val="000000"/>
                <w:lang w:eastAsia="ru-RU"/>
              </w:rPr>
              <w:t>Установлен 1 тепловой узел – в районе 1 подъезда. Теплоснабжение предусмотрено от транзитной сети двумя вводами (подача и обратный трубопровод)  Ø 89.  Магистральные трубы проложены в техническом подвале открытым способом.  Внутренняя разводка отопления от магистральных труб до потребителей выполнена их стальных труб Ø 25 мм. Приборы отопления биметаллические (1-ый подъезд) и  чугунные (2-ой подъезд). Тепловой пункт и УУТЭ отсутствуют.</w:t>
            </w:r>
          </w:p>
        </w:tc>
      </w:tr>
      <w:tr w:rsidR="00CA4211" w:rsidRPr="00CA4211" w:rsidTr="00405EA1">
        <w:trPr>
          <w:trHeight w:val="398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Вентиляция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Естественная, вытяжная</w:t>
            </w:r>
          </w:p>
        </w:tc>
      </w:tr>
      <w:tr w:rsidR="00CA4211" w:rsidRPr="00CA4211" w:rsidTr="00405EA1">
        <w:trPr>
          <w:trHeight w:val="420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CA4211" w:rsidRPr="00CA4211" w:rsidTr="00405EA1">
        <w:trPr>
          <w:trHeight w:val="405"/>
        </w:trPr>
        <w:tc>
          <w:tcPr>
            <w:tcW w:w="1479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CA4211" w:rsidRPr="00CA4211" w:rsidTr="00405EA1">
        <w:trPr>
          <w:trHeight w:val="40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CA4211" w:rsidRPr="00CA4211" w:rsidTr="00405EA1">
        <w:trPr>
          <w:trHeight w:val="40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CA4211" w:rsidRPr="00CA4211" w:rsidTr="00405EA1">
        <w:trPr>
          <w:trHeight w:val="405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CA4211" w:rsidRPr="00CA4211" w:rsidTr="00405EA1">
        <w:trPr>
          <w:trHeight w:val="540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A4211" w:rsidRPr="00CA4211" w:rsidRDefault="00CA4211" w:rsidP="00CA421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CA4211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1851B4" w:rsidRDefault="001851B4"/>
    <w:p w:rsidR="00CD1A17" w:rsidRDefault="00CD1A17" w:rsidP="00CD1A17">
      <w:pPr>
        <w:jc w:val="both"/>
      </w:pPr>
      <w:r>
        <w:t>Комиссия в составе:</w:t>
      </w:r>
    </w:p>
    <w:p w:rsidR="00CD1A17" w:rsidRDefault="00CD1A17" w:rsidP="00CD1A17">
      <w:pPr>
        <w:jc w:val="both"/>
      </w:pPr>
    </w:p>
    <w:p w:rsidR="00CD1A17" w:rsidRDefault="00CD1A17" w:rsidP="00CD1A17">
      <w:pPr>
        <w:jc w:val="both"/>
      </w:pPr>
      <w:r>
        <w:t>Председатель комиссии:</w:t>
      </w:r>
    </w:p>
    <w:p w:rsidR="00CD1A17" w:rsidRDefault="00CD1A17" w:rsidP="00CD1A17">
      <w:pPr>
        <w:jc w:val="both"/>
      </w:pPr>
      <w:r>
        <w:t>Главный инженер ООО "УК СТАНДАРТ" Цылёв А.А.</w:t>
      </w:r>
    </w:p>
    <w:p w:rsidR="00CD1A17" w:rsidRDefault="00CD1A17" w:rsidP="00CD1A17">
      <w:pPr>
        <w:jc w:val="both"/>
      </w:pPr>
      <w:r>
        <w:t>Члены комиссии:    зам генерального директора ООО "УК СТАНДАРТ"  Климовский А.Д.</w:t>
      </w:r>
    </w:p>
    <w:p w:rsidR="00CD1A17" w:rsidRDefault="00CD1A17" w:rsidP="00CD1A17">
      <w:pPr>
        <w:jc w:val="both"/>
      </w:pPr>
      <w:r>
        <w:t>представитель собственников помещений  Председатель совета МКД Волошина И.М.</w:t>
      </w:r>
    </w:p>
    <w:p w:rsidR="00CD1A17" w:rsidRDefault="00CD1A17" w:rsidP="00CD1A17">
      <w:pPr>
        <w:jc w:val="both"/>
      </w:pPr>
    </w:p>
    <w:p w:rsidR="007D45B3" w:rsidRDefault="00CD1A17" w:rsidP="00CD1A17">
      <w:pPr>
        <w:jc w:val="both"/>
      </w:pPr>
      <w:r>
        <w:t>произвела общий (весенний) осмотр элементов общего имущества многоквартирного дома. При осмотре установлено следующее:</w:t>
      </w:r>
    </w:p>
    <w:tbl>
      <w:tblPr>
        <w:tblW w:w="150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551"/>
        <w:gridCol w:w="73"/>
        <w:gridCol w:w="236"/>
        <w:gridCol w:w="2591"/>
        <w:gridCol w:w="219"/>
        <w:gridCol w:w="17"/>
        <w:gridCol w:w="73"/>
        <w:gridCol w:w="219"/>
        <w:gridCol w:w="17"/>
        <w:gridCol w:w="7895"/>
        <w:gridCol w:w="309"/>
        <w:gridCol w:w="17"/>
      </w:tblGrid>
      <w:tr w:rsidR="009D7D34" w:rsidRPr="007D45B3" w:rsidTr="00CD1A17">
        <w:trPr>
          <w:gridAfter w:val="2"/>
          <w:wAfter w:w="326" w:type="dxa"/>
          <w:trHeight w:val="1137"/>
        </w:trPr>
        <w:tc>
          <w:tcPr>
            <w:tcW w:w="1475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D7D34" w:rsidRPr="009D7D34" w:rsidRDefault="009D7D34" w:rsidP="009D7D34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9D7D34">
              <w:rPr>
                <w:rFonts w:eastAsia="Times New Roman"/>
                <w:b/>
                <w:color w:val="000000"/>
                <w:lang w:eastAsia="ru-RU"/>
              </w:rPr>
              <w:t>РЕЗУЛЬТАТЫ ОСМОТРА                                                                                                                                                                            технического состояния</w:t>
            </w:r>
          </w:p>
          <w:p w:rsidR="009D7D34" w:rsidRPr="007D45B3" w:rsidRDefault="009D7D34" w:rsidP="009D7D34">
            <w:pPr>
              <w:rPr>
                <w:rFonts w:eastAsia="Times New Roman"/>
                <w:color w:val="000000"/>
                <w:lang w:eastAsia="ru-RU"/>
              </w:rPr>
            </w:pPr>
            <w:r w:rsidRPr="009D7D34">
              <w:rPr>
                <w:rFonts w:eastAsia="Times New Roman"/>
                <w:b/>
                <w:color w:val="000000"/>
                <w:lang w:eastAsia="ru-RU"/>
              </w:rPr>
              <w:t>строительных конструкций и инженерного оборудования</w:t>
            </w:r>
          </w:p>
        </w:tc>
      </w:tr>
      <w:tr w:rsidR="007D45B3" w:rsidRPr="007D45B3" w:rsidTr="009D7D34">
        <w:trPr>
          <w:gridAfter w:val="2"/>
          <w:wAfter w:w="326" w:type="dxa"/>
          <w:trHeight w:val="206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45B3" w:rsidRPr="007D45B3" w:rsidRDefault="007D45B3" w:rsidP="009D7D34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D45B3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45B3" w:rsidRPr="007D45B3" w:rsidRDefault="007D45B3" w:rsidP="009D7D3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D45B3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45B3" w:rsidRPr="007D45B3" w:rsidRDefault="007D45B3" w:rsidP="009D7D3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D45B3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 по  ВСН 53-86(р)</w:t>
            </w: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D45B3" w:rsidRPr="007D45B3" w:rsidRDefault="007D45B3" w:rsidP="009D7D3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D45B3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856A57" w:rsidRPr="007D45B3" w:rsidTr="009D7D34">
        <w:trPr>
          <w:gridAfter w:val="2"/>
          <w:wAfter w:w="326" w:type="dxa"/>
          <w:trHeight w:val="97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Ограниченно-работоспособное. Процент износа  - 70%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При визуальном осмотре дефектов не выявлено.</w:t>
            </w:r>
          </w:p>
        </w:tc>
      </w:tr>
      <w:tr w:rsidR="00856A57" w:rsidRPr="007D45B3" w:rsidTr="009D7D34">
        <w:trPr>
          <w:gridAfter w:val="2"/>
          <w:wAfter w:w="326" w:type="dxa"/>
          <w:trHeight w:val="10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Ограниченно-работоспособное Процент износа  - 70%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Выбоины местами в фактурном слое, выпучивание или отпадение штукатурки  местами, менее 10 м2 на площади до 25 %, массовое  отслоение, вздутия и отпадение окрасочного слоя со шпаклевкой</w:t>
            </w:r>
          </w:p>
        </w:tc>
      </w:tr>
      <w:tr w:rsidR="00856A57" w:rsidRPr="007D45B3" w:rsidTr="00CD1A17">
        <w:trPr>
          <w:gridAfter w:val="2"/>
          <w:wAfter w:w="326" w:type="dxa"/>
          <w:trHeight w:val="597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Работоспособное.                  Процент износа  - 30 %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При визуальном осмотре дефекты не обнаружены</w:t>
            </w:r>
          </w:p>
        </w:tc>
      </w:tr>
      <w:tr w:rsidR="00856A57" w:rsidRPr="007D45B3" w:rsidTr="009D7D34">
        <w:trPr>
          <w:gridAfter w:val="2"/>
          <w:wAfter w:w="326" w:type="dxa"/>
          <w:trHeight w:val="9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Ограниченно-работоспособное. Процент износа  - 60%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Провести визуальный осмотр в полном объёме не представилось возможным</w:t>
            </w:r>
          </w:p>
        </w:tc>
      </w:tr>
      <w:tr w:rsidR="00856A57" w:rsidRPr="007D45B3" w:rsidTr="0099757B">
        <w:trPr>
          <w:gridAfter w:val="2"/>
          <w:wAfter w:w="326" w:type="dxa"/>
          <w:trHeight w:val="68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Работоспособное.              Процент износа - 35%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При визуальном осмотре дефекты не обнаружены.</w:t>
            </w:r>
          </w:p>
        </w:tc>
      </w:tr>
      <w:tr w:rsidR="00856A57" w:rsidRPr="007D45B3" w:rsidTr="0099757B">
        <w:trPr>
          <w:gridAfter w:val="2"/>
          <w:wAfter w:w="326" w:type="dxa"/>
          <w:trHeight w:val="98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Работоспособное                     Процент износа - 30%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При ви</w:t>
            </w:r>
            <w:r w:rsidR="00666BC9">
              <w:t>зуальном осмотре дефекты не обн</w:t>
            </w:r>
            <w:r w:rsidRPr="00856A57">
              <w:t>аружены</w:t>
            </w:r>
          </w:p>
        </w:tc>
      </w:tr>
      <w:tr w:rsidR="0099757B" w:rsidRPr="007D45B3" w:rsidTr="0099757B">
        <w:trPr>
          <w:gridAfter w:val="2"/>
          <w:wAfter w:w="326" w:type="dxa"/>
          <w:trHeight w:val="5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7B" w:rsidRPr="007D45B3" w:rsidRDefault="0099757B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7B" w:rsidRPr="007D45B3" w:rsidRDefault="0099757B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7B" w:rsidRPr="007D45B3" w:rsidRDefault="0099757B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В МКД № 1 по ул. Амурская в г. Владивостоке водосток неорганизованный, поэтому величина физического износа не определяется.</w:t>
            </w:r>
          </w:p>
        </w:tc>
      </w:tr>
      <w:tr w:rsidR="00856A57" w:rsidRPr="007D45B3" w:rsidTr="00CD1A17">
        <w:trPr>
          <w:gridAfter w:val="2"/>
          <w:wAfter w:w="326" w:type="dxa"/>
          <w:trHeight w:val="71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Работоспособное                       Процент износа   - 55%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 xml:space="preserve">Провести визуальный осмотр в полном объёме не представилось возможным. </w:t>
            </w:r>
          </w:p>
        </w:tc>
      </w:tr>
      <w:tr w:rsidR="00856A57" w:rsidRPr="007D45B3" w:rsidTr="00CD1A17">
        <w:trPr>
          <w:gridAfter w:val="2"/>
          <w:wAfter w:w="326" w:type="dxa"/>
          <w:trHeight w:val="70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 xml:space="preserve">Нормативное                                Процент износа   - 10 % 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При визуальном осмотре дефекты не обнаружены</w:t>
            </w:r>
          </w:p>
        </w:tc>
      </w:tr>
      <w:tr w:rsidR="00856A57" w:rsidRPr="007D45B3" w:rsidTr="009D7D34">
        <w:trPr>
          <w:gridAfter w:val="2"/>
          <w:wAfter w:w="326" w:type="dxa"/>
          <w:trHeight w:val="205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Аварийное                             Процент износа  - 80%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Одиночные мелкие повреждения и пробоины в кровле и местах примыкания к вертикальным поверхностям, прогибы и нарушения креплений железных козырьков. Вздутие поверхности, трещины, разрывы (местами) верхнего слоя кровли, требующие замены до 10 % кровли; проникание влаги в местах примыканий к вертикальным поверхностям. Разрушение верхнего и местами нижних слоев покрытия; вздутия, требующие замены от 10 до 25 % кровельного покрытия; отсутствие настенных свесов;  отсутствие ограждающей решетки. Отсутствие утеплителя</w:t>
            </w:r>
          </w:p>
        </w:tc>
      </w:tr>
      <w:tr w:rsidR="00856A57" w:rsidRPr="007D45B3" w:rsidTr="009D7D34">
        <w:trPr>
          <w:gridAfter w:val="2"/>
          <w:wAfter w:w="326" w:type="dxa"/>
          <w:trHeight w:val="9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Ограниченно-работоспособное    Процент износа  - 80 %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pPr>
              <w:spacing w:after="320"/>
            </w:pPr>
            <w:r w:rsidRPr="00856A57">
              <w:t>Истертость и повреждение отдельных плиток на площади от 10 до 25 % площади пола</w:t>
            </w:r>
          </w:p>
        </w:tc>
      </w:tr>
      <w:tr w:rsidR="00856A57" w:rsidRPr="007D45B3" w:rsidTr="00CD1A17">
        <w:trPr>
          <w:gridAfter w:val="2"/>
          <w:wAfter w:w="326" w:type="dxa"/>
          <w:trHeight w:val="6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Работоспособное.                      Процент износа - 60 %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 xml:space="preserve">Провести визуальный осмотр в полном объёме не представилось возможным. </w:t>
            </w:r>
          </w:p>
        </w:tc>
      </w:tr>
      <w:tr w:rsidR="00856A57" w:rsidRPr="007D45B3" w:rsidTr="00CD1A17">
        <w:trPr>
          <w:gridAfter w:val="2"/>
          <w:wAfter w:w="326" w:type="dxa"/>
          <w:trHeight w:val="65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 xml:space="preserve">Работоспособное.                     Процент износа - 25 % 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Приборы частично утеряны или неисправны</w:t>
            </w:r>
          </w:p>
        </w:tc>
      </w:tr>
      <w:tr w:rsidR="00856A57" w:rsidRPr="007D45B3" w:rsidTr="00CD1A17">
        <w:trPr>
          <w:gridAfter w:val="2"/>
          <w:wAfter w:w="326" w:type="dxa"/>
          <w:trHeight w:val="64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 w:rsidP="00CD1A17">
            <w:r w:rsidRPr="00856A57">
              <w:t>Работоспособное                       . Процент износа   30 %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Отсутствуют тамбурные двери в обоих подъездах</w:t>
            </w:r>
          </w:p>
        </w:tc>
      </w:tr>
      <w:tr w:rsidR="00856A57" w:rsidRPr="007D45B3" w:rsidTr="00CD1A17">
        <w:trPr>
          <w:gridAfter w:val="2"/>
          <w:wAfter w:w="326" w:type="dxa"/>
          <w:trHeight w:val="6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Работоспособное.                      Процент износа - 70%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При визуальном осмотре дефектов не выявлено.</w:t>
            </w:r>
          </w:p>
        </w:tc>
      </w:tr>
      <w:tr w:rsidR="00856A57" w:rsidRPr="007D45B3" w:rsidTr="009D7D34">
        <w:trPr>
          <w:gridAfter w:val="2"/>
          <w:wAfter w:w="326" w:type="dxa"/>
          <w:trHeight w:val="2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Работоспособное.                                        Процент износа - 55%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Мелкие повреждения металлических обделок и ограждений, Следы увлажнения на нижней плоскости плиты и на участках стены, примыкающих к балкону (козырьку). Цементный пол и гидроизоляции местами повреждены. На нижней поверхности ржавые пятна, следы протечек. Протечки, разрушение защитного слоя, обнажение арматуры. Коррозия металлических несущих конструкций (консолей, кронштейнов, подвесок)</w:t>
            </w:r>
          </w:p>
        </w:tc>
      </w:tr>
      <w:tr w:rsidR="00856A57" w:rsidRPr="007D45B3" w:rsidTr="00CD1A17">
        <w:trPr>
          <w:gridAfter w:val="2"/>
          <w:wAfter w:w="326" w:type="dxa"/>
          <w:trHeight w:val="225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CD1A17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 w:rsidP="00CD1A17">
            <w:r w:rsidRPr="00856A57">
              <w:t>Ограниченно-работоспособное.    Процент износа  -80 %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 w:rsidP="00CD1A17">
            <w:r w:rsidRPr="00856A57">
              <w:t>Штукатурка –Глубокие трещины, мелкие пробоины, отслоение накрывочного слоя местами. Окраска водными составами - Окрасочный слой местами потемнел и загрязнился, в отдельных местах поврежден;  Окраска масляными красками - Потемнение и загрязнение окрасочного слоя, матовые пятна и потеки, Сырые пятна, отслоение вздутие и местами отставание краски со</w:t>
            </w:r>
            <w:r w:rsidR="00CD1A17">
              <w:t xml:space="preserve"> шпаклевкой до 10 % поверхности</w:t>
            </w:r>
          </w:p>
        </w:tc>
      </w:tr>
      <w:tr w:rsidR="00856A57" w:rsidRPr="007D45B3" w:rsidTr="009D7D34">
        <w:trPr>
          <w:gridAfter w:val="2"/>
          <w:wAfter w:w="326" w:type="dxa"/>
          <w:trHeight w:val="197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Ограниченно-работоспособное           Процент износа  - 65 %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значительное нарушение теплоизоляции трубопроводов коррозия трубопроводов стояков. Предельный срок эксплуатации трубопроводов стояков и магистралей  истёк.</w:t>
            </w:r>
          </w:p>
        </w:tc>
      </w:tr>
      <w:tr w:rsidR="00856A57" w:rsidRPr="007D45B3" w:rsidTr="009D7D34">
        <w:trPr>
          <w:gridAfter w:val="2"/>
          <w:wAfter w:w="326" w:type="dxa"/>
          <w:trHeight w:val="98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Отсутствуют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 </w:t>
            </w:r>
          </w:p>
        </w:tc>
      </w:tr>
      <w:tr w:rsidR="00856A57" w:rsidRPr="007D45B3" w:rsidTr="009D7D34">
        <w:trPr>
          <w:gridAfter w:val="2"/>
          <w:wAfter w:w="326" w:type="dxa"/>
          <w:trHeight w:val="126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Отсутствуют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 </w:t>
            </w:r>
          </w:p>
        </w:tc>
      </w:tr>
      <w:tr w:rsidR="00856A57" w:rsidRPr="007D45B3" w:rsidTr="009D7D34">
        <w:trPr>
          <w:gridAfter w:val="2"/>
          <w:wAfter w:w="326" w:type="dxa"/>
          <w:trHeight w:val="110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 xml:space="preserve">Ограниченно-работоспособное. Процент износа- 80% 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способом,</w:t>
            </w:r>
          </w:p>
        </w:tc>
      </w:tr>
      <w:tr w:rsidR="00856A57" w:rsidRPr="007D45B3" w:rsidTr="00CD1A17">
        <w:trPr>
          <w:gridAfter w:val="2"/>
          <w:wAfter w:w="326" w:type="dxa"/>
          <w:trHeight w:val="2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 xml:space="preserve">Ограниченно-работоспособное        Процент износа - 55% 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Капельные течи в местах резьбовых соединений трубопроводов и врезки запорной арматуры; нарушение работы отдельных полотенцесушителей; нарушения теплоизоляции стояков; поражение коррозией стояков отдельными местами. Магистрали в подвале закреплены ненадлежащим образом, на поперечинах, подвешенных на проволоке Ø 1 мм. Предельный срок эксплуатации трубопроводов стояков истёк.</w:t>
            </w:r>
          </w:p>
        </w:tc>
      </w:tr>
      <w:tr w:rsidR="00856A57" w:rsidRPr="007D45B3" w:rsidTr="009D7D34">
        <w:trPr>
          <w:gridAfter w:val="2"/>
          <w:wAfter w:w="326" w:type="dxa"/>
          <w:trHeight w:val="98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Отсутствуют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 </w:t>
            </w:r>
          </w:p>
        </w:tc>
      </w:tr>
      <w:tr w:rsidR="00856A57" w:rsidRPr="007D45B3" w:rsidTr="00CD1A17">
        <w:trPr>
          <w:gridAfter w:val="2"/>
          <w:wAfter w:w="326" w:type="dxa"/>
          <w:trHeight w:val="155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CD1A17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 w:rsidP="00CD1A17">
            <w:r w:rsidRPr="00856A57">
              <w:t xml:space="preserve">Ограниченно-работоспособное Процент износа   - 60% 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 w:rsidP="00CD1A17">
            <w:r w:rsidRPr="00856A57">
              <w:t>Капельные течи в местах врезки запорной арматуры; поражение коррозией отдельных участков трубопроводов стояков. Магистрали в подвале закреплены ненадлежащи</w:t>
            </w:r>
            <w:r w:rsidR="00CD1A17">
              <w:t>м образом, на поперечинах, подв</w:t>
            </w:r>
            <w:r w:rsidRPr="00856A57">
              <w:t>ешенных на проволоке Ø 1 мм. Предельный срок эксплуатации трубопроводов стояков истёк.</w:t>
            </w:r>
          </w:p>
        </w:tc>
      </w:tr>
      <w:tr w:rsidR="00856A57" w:rsidRPr="007D45B3" w:rsidTr="009D7D34">
        <w:trPr>
          <w:gridAfter w:val="2"/>
          <w:wAfter w:w="326" w:type="dxa"/>
          <w:trHeight w:val="98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Отсутствуют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 </w:t>
            </w:r>
          </w:p>
        </w:tc>
      </w:tr>
      <w:tr w:rsidR="00856A57" w:rsidRPr="007D45B3" w:rsidTr="009D7D34">
        <w:trPr>
          <w:gridAfter w:val="2"/>
          <w:wAfter w:w="326" w:type="dxa"/>
          <w:trHeight w:val="9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 xml:space="preserve">Отсутствует 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 </w:t>
            </w:r>
          </w:p>
        </w:tc>
      </w:tr>
      <w:tr w:rsidR="00856A57" w:rsidRPr="007D45B3" w:rsidTr="009D7D34">
        <w:trPr>
          <w:gridAfter w:val="2"/>
          <w:wAfter w:w="326" w:type="dxa"/>
          <w:trHeight w:val="10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 xml:space="preserve">Отсутствуют 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 </w:t>
            </w:r>
          </w:p>
        </w:tc>
      </w:tr>
      <w:tr w:rsidR="00856A57" w:rsidRPr="007D45B3" w:rsidTr="009D7D34">
        <w:trPr>
          <w:gridAfter w:val="2"/>
          <w:wAfter w:w="326" w:type="dxa"/>
          <w:trHeight w:val="17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Состояние удовлетворительное. Процент износа  - 70%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Повреждения отдельных мест соединений чугунных трубопроводов стояков канализации. Магистрали в подвале закреплены ненадлежащим образом, на поперечинах, подвешенных на проволоке Ø 1 мм.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D45B3">
              <w:rPr>
                <w:rFonts w:eastAsia="Times New Roman"/>
                <w:lang w:eastAsia="ru-RU"/>
              </w:rPr>
              <w:t>Срок эксплуатации трубопроводов чугунных стояков истёк.</w:t>
            </w:r>
          </w:p>
        </w:tc>
      </w:tr>
      <w:tr w:rsidR="00856A57" w:rsidRPr="007D45B3" w:rsidTr="00CD1A17">
        <w:trPr>
          <w:gridAfter w:val="2"/>
          <w:wAfter w:w="326" w:type="dxa"/>
          <w:trHeight w:val="32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Состояние неудовлетворительное. Процент износа  - 80%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Электропроводка выполнена двухжильной, что не соответствует современным требованиям, согласно которым электропроводка должна быть трёхжильная; следы ремонта системы электроснабжения  с частичной заменой сетей и приборов, Повреждение изоляции магистральных и внутриквартирных сетей в отдельных местах, потеря эластичности изоляции проводов, открытые проводки покрыты значительным слоем краски, отсутствие части приборов и крышек к ним, следы ремонта вводно-распределительных устройств (ВРУ)Предельный срок эксплуатации магистралей электроснабжения и ВРУ истёк.</w:t>
            </w:r>
          </w:p>
        </w:tc>
      </w:tr>
      <w:tr w:rsidR="00856A57" w:rsidRPr="007D45B3" w:rsidTr="00856A57">
        <w:trPr>
          <w:gridAfter w:val="2"/>
          <w:wAfter w:w="326" w:type="dxa"/>
          <w:trHeight w:val="126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856A57">
              <w:rPr>
                <w:rFonts w:eastAsia="Times New Roman"/>
                <w:lang w:eastAsia="ru-RU"/>
              </w:rPr>
              <w:t>В соответствии с положениями  Федерального Закона от 26.03.2003 г. № 35-ФЗ «Об электроэнергетике» с 01.07. 2020 года,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856A57" w:rsidRPr="007D45B3" w:rsidTr="009D7D34">
        <w:trPr>
          <w:gridAfter w:val="2"/>
          <w:wAfter w:w="326" w:type="dxa"/>
          <w:trHeight w:val="88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Работоспособное.              Процент - 55%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856A57" w:rsidRPr="007D45B3" w:rsidTr="009D7D34">
        <w:trPr>
          <w:gridAfter w:val="2"/>
          <w:wAfter w:w="326" w:type="dxa"/>
          <w:trHeight w:val="41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Отсутствуют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856A57" w:rsidRPr="007D45B3" w:rsidTr="009D7D34">
        <w:trPr>
          <w:gridAfter w:val="2"/>
          <w:wAfter w:w="326" w:type="dxa"/>
          <w:trHeight w:val="70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>Отсутствует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856A57" w:rsidRPr="007D45B3" w:rsidTr="009D7D34">
        <w:trPr>
          <w:gridAfter w:val="2"/>
          <w:wAfter w:w="326" w:type="dxa"/>
          <w:trHeight w:val="98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 xml:space="preserve">Отсутствует 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666BC9" w:rsidRPr="007D45B3" w:rsidTr="00666BC9">
        <w:trPr>
          <w:gridAfter w:val="2"/>
          <w:wAfter w:w="326" w:type="dxa"/>
          <w:trHeight w:val="106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BC9" w:rsidRPr="007D45B3" w:rsidRDefault="00666BC9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BC9" w:rsidRPr="007D45B3" w:rsidRDefault="00666BC9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BC9" w:rsidRPr="007D45B3" w:rsidRDefault="00666BC9" w:rsidP="009D7D34">
            <w:pPr>
              <w:jc w:val="left"/>
              <w:rPr>
                <w:rFonts w:eastAsia="Times New Roman"/>
                <w:lang w:eastAsia="ru-RU"/>
              </w:rPr>
            </w:pPr>
            <w:r w:rsidRPr="00856A57">
              <w:t>Переговорно-замочное устройство ООО "УК СТАНДАРТ" не обслуживает</w:t>
            </w:r>
          </w:p>
        </w:tc>
      </w:tr>
      <w:tr w:rsidR="00856A57" w:rsidRPr="007D45B3" w:rsidTr="009D7D34">
        <w:trPr>
          <w:gridAfter w:val="2"/>
          <w:wAfter w:w="326" w:type="dxa"/>
          <w:trHeight w:val="67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856A57" w:rsidRDefault="00856A57">
            <w:r w:rsidRPr="00856A57">
              <w:t xml:space="preserve">Отсутствует 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856A57" w:rsidRPr="007D45B3" w:rsidTr="009D7D34">
        <w:trPr>
          <w:trHeight w:val="278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56A57" w:rsidRPr="007D45B3" w:rsidTr="009D7D34">
        <w:trPr>
          <w:gridAfter w:val="2"/>
          <w:wAfter w:w="326" w:type="dxa"/>
          <w:trHeight w:val="52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D45B3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56A57" w:rsidRPr="007D45B3" w:rsidTr="00772994">
        <w:trPr>
          <w:gridAfter w:val="2"/>
          <w:wAfter w:w="326" w:type="dxa"/>
          <w:trHeight w:val="894"/>
        </w:trPr>
        <w:tc>
          <w:tcPr>
            <w:tcW w:w="14757" w:type="dxa"/>
            <w:gridSpan w:val="1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На основании результатов общего (весеннего) осмотра комиссия считает, что здание многоквартирного дома по адресу:   г. Владивосток, ул.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D45B3">
              <w:rPr>
                <w:rFonts w:eastAsia="Times New Roman"/>
                <w:color w:val="000000"/>
                <w:lang w:eastAsia="ru-RU"/>
              </w:rPr>
              <w:t>Амурская, 1, находится в работоспособном состоянии. Необходимо проведение следующих работ:</w:t>
            </w:r>
          </w:p>
        </w:tc>
      </w:tr>
      <w:tr w:rsidR="00856A57" w:rsidRPr="007D45B3" w:rsidTr="009D7D34">
        <w:trPr>
          <w:gridAfter w:val="2"/>
          <w:wAfter w:w="326" w:type="dxa"/>
          <w:trHeight w:val="79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D45B3">
              <w:rPr>
                <w:rFonts w:eastAsia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D45B3">
              <w:rPr>
                <w:rFonts w:eastAsia="Times New Roman"/>
                <w:b/>
                <w:bCs/>
                <w:color w:val="000000"/>
                <w:lang w:eastAsia="ru-RU"/>
              </w:rPr>
              <w:t>Вид  ремонта</w:t>
            </w:r>
          </w:p>
        </w:tc>
        <w:tc>
          <w:tcPr>
            <w:tcW w:w="113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D45B3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856A57" w:rsidRPr="007D45B3" w:rsidTr="009D7D34">
        <w:trPr>
          <w:gridAfter w:val="2"/>
          <w:wAfter w:w="326" w:type="dxa"/>
          <w:trHeight w:val="85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134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77299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Полы. Дверные заполнения.  Лестничные клетки,  система горячего водоснабжения, система водоотведения система отопления, система канализации (закрепление магистралей в подвалах).</w:t>
            </w:r>
          </w:p>
        </w:tc>
      </w:tr>
      <w:tr w:rsidR="00856A57" w:rsidRPr="007D45B3" w:rsidTr="00772994">
        <w:trPr>
          <w:gridAfter w:val="2"/>
          <w:wAfter w:w="326" w:type="dxa"/>
          <w:trHeight w:val="59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lang w:eastAsia="ru-RU"/>
              </w:rPr>
            </w:pPr>
            <w:r w:rsidRPr="007D45B3">
              <w:rPr>
                <w:rFonts w:eastAsia="Times New Roman"/>
                <w:lang w:eastAsia="ru-RU"/>
              </w:rPr>
              <w:t>Кровля, Система  электроснабжения, Система отопления, система горячего водоснабжения (стояки), система холодного водоснабжения (стояки), Общие коридоры и тамбуры</w:t>
            </w:r>
          </w:p>
        </w:tc>
      </w:tr>
      <w:tr w:rsidR="00856A57" w:rsidRPr="007D45B3" w:rsidTr="009D7D34">
        <w:trPr>
          <w:gridAfter w:val="2"/>
          <w:wAfter w:w="326" w:type="dxa"/>
          <w:trHeight w:val="1543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134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57" w:rsidRPr="007D45B3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энергоэффективности.</w:t>
            </w:r>
          </w:p>
        </w:tc>
      </w:tr>
      <w:tr w:rsidR="00856A57" w:rsidRPr="007D45B3" w:rsidTr="009D7D34">
        <w:trPr>
          <w:gridAfter w:val="1"/>
          <w:wAfter w:w="17" w:type="dxa"/>
          <w:trHeight w:val="6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57" w:rsidRPr="007D45B3" w:rsidRDefault="00856A57" w:rsidP="007D45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57" w:rsidRPr="007D45B3" w:rsidRDefault="00856A57" w:rsidP="007D45B3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D45B3">
              <w:rPr>
                <w:rFonts w:eastAsia="Times New Roman"/>
                <w:b/>
                <w:bCs/>
                <w:color w:val="000000"/>
                <w:lang w:eastAsia="ru-RU"/>
              </w:rPr>
              <w:t>Подписи: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57" w:rsidRPr="007D45B3" w:rsidRDefault="00856A57" w:rsidP="007D45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7D45B3">
            <w:pPr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Pr="007D45B3" w:rsidRDefault="00856A57" w:rsidP="007D45B3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56A57" w:rsidRPr="007D45B3" w:rsidTr="0049614B">
        <w:trPr>
          <w:gridAfter w:val="2"/>
          <w:wAfter w:w="326" w:type="dxa"/>
          <w:trHeight w:val="912"/>
        </w:trPr>
        <w:tc>
          <w:tcPr>
            <w:tcW w:w="147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57" w:rsidRPr="007D45B3" w:rsidRDefault="00856A57" w:rsidP="007D45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856A57" w:rsidRDefault="00856A57" w:rsidP="007D45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856A57" w:rsidRPr="007D45B3" w:rsidRDefault="00856A57" w:rsidP="0077299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</w:t>
            </w:r>
            <w:r w:rsidR="00772994">
              <w:rPr>
                <w:rFonts w:eastAsia="Times New Roman"/>
                <w:color w:val="000000"/>
                <w:lang w:eastAsia="ru-RU"/>
              </w:rPr>
              <w:t>Цылёв А.А.</w:t>
            </w:r>
          </w:p>
        </w:tc>
      </w:tr>
      <w:tr w:rsidR="00856A57" w:rsidRPr="007D45B3" w:rsidTr="009D7D34">
        <w:trPr>
          <w:trHeight w:val="40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57" w:rsidRPr="007D45B3" w:rsidRDefault="00856A57" w:rsidP="007D45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57" w:rsidRPr="007D45B3" w:rsidRDefault="00856A57" w:rsidP="007D45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57" w:rsidRPr="007D45B3" w:rsidRDefault="00856A57" w:rsidP="007D45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57" w:rsidRPr="007D45B3" w:rsidRDefault="00856A57" w:rsidP="007D45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57" w:rsidRPr="007D45B3" w:rsidRDefault="00856A57" w:rsidP="007D45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57" w:rsidRPr="007D45B3" w:rsidRDefault="00856A57" w:rsidP="007D45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56A57" w:rsidRPr="007D45B3" w:rsidTr="0049614B">
        <w:trPr>
          <w:gridAfter w:val="2"/>
          <w:wAfter w:w="326" w:type="dxa"/>
          <w:trHeight w:val="960"/>
        </w:trPr>
        <w:tc>
          <w:tcPr>
            <w:tcW w:w="147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6A57" w:rsidRDefault="00772994" w:rsidP="007D45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856A57" w:rsidRDefault="00856A57" w:rsidP="009D7D3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D45B3">
              <w:rPr>
                <w:rFonts w:eastAsia="Times New Roman"/>
                <w:color w:val="000000"/>
                <w:lang w:eastAsia="ru-RU"/>
              </w:rPr>
              <w:t>Зам генерального директора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</w:t>
            </w:r>
            <w:r w:rsidRPr="007D45B3">
              <w:rPr>
                <w:rFonts w:eastAsia="Times New Roman"/>
                <w:color w:val="000000"/>
                <w:lang w:eastAsia="ru-RU"/>
              </w:rPr>
              <w:t xml:space="preserve">  Климовский А.Д.</w:t>
            </w:r>
          </w:p>
          <w:p w:rsidR="00772994" w:rsidRDefault="00772994" w:rsidP="0077299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772994" w:rsidRPr="00772994" w:rsidRDefault="00772994" w:rsidP="0077299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72994">
              <w:rPr>
                <w:rFonts w:eastAsia="Times New Roman"/>
                <w:color w:val="000000"/>
                <w:lang w:eastAsia="ru-RU"/>
              </w:rPr>
              <w:t xml:space="preserve">представитель   собственников помещений: </w:t>
            </w:r>
          </w:p>
          <w:p w:rsidR="00772994" w:rsidRPr="007D45B3" w:rsidRDefault="00772994" w:rsidP="0077299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772994">
              <w:rPr>
                <w:rFonts w:eastAsia="Times New Roman"/>
                <w:color w:val="000000"/>
                <w:lang w:eastAsia="ru-RU"/>
              </w:rPr>
              <w:t xml:space="preserve">Председатель Совета МКД                                                                           Волошина И.М.  </w:t>
            </w:r>
          </w:p>
        </w:tc>
      </w:tr>
    </w:tbl>
    <w:p w:rsidR="007D45B3" w:rsidRDefault="007D45B3" w:rsidP="009D7D34">
      <w:pPr>
        <w:jc w:val="both"/>
      </w:pPr>
    </w:p>
    <w:sectPr w:rsidR="007D45B3" w:rsidSect="00CA4211">
      <w:pgSz w:w="16838" w:h="11906" w:orient="landscape"/>
      <w:pgMar w:top="850" w:right="1134" w:bottom="127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27"/>
    <w:rsid w:val="000C2D7B"/>
    <w:rsid w:val="001851B4"/>
    <w:rsid w:val="002C62AE"/>
    <w:rsid w:val="00372429"/>
    <w:rsid w:val="003D50D6"/>
    <w:rsid w:val="00405EA1"/>
    <w:rsid w:val="004478A1"/>
    <w:rsid w:val="0049614B"/>
    <w:rsid w:val="00581D71"/>
    <w:rsid w:val="00636171"/>
    <w:rsid w:val="006459D2"/>
    <w:rsid w:val="00666BC9"/>
    <w:rsid w:val="00736DC5"/>
    <w:rsid w:val="00772994"/>
    <w:rsid w:val="007D45B3"/>
    <w:rsid w:val="00856A57"/>
    <w:rsid w:val="0094493E"/>
    <w:rsid w:val="0099757B"/>
    <w:rsid w:val="009D7D34"/>
    <w:rsid w:val="00B31249"/>
    <w:rsid w:val="00B90227"/>
    <w:rsid w:val="00CA4211"/>
    <w:rsid w:val="00CD1A17"/>
    <w:rsid w:val="00D125D7"/>
    <w:rsid w:val="00D6536B"/>
    <w:rsid w:val="00DC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2022-05-23T04:09:00Z</dcterms:created>
  <dcterms:modified xsi:type="dcterms:W3CDTF">2022-06-02T02:32:00Z</dcterms:modified>
</cp:coreProperties>
</file>