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80" w:type="dxa"/>
        <w:tblInd w:w="93" w:type="dxa"/>
        <w:tblLook w:val="04A0" w:firstRow="1" w:lastRow="0" w:firstColumn="1" w:lastColumn="0" w:noHBand="0" w:noVBand="1"/>
      </w:tblPr>
      <w:tblGrid>
        <w:gridCol w:w="1067"/>
        <w:gridCol w:w="793"/>
        <w:gridCol w:w="1616"/>
        <w:gridCol w:w="1181"/>
        <w:gridCol w:w="778"/>
        <w:gridCol w:w="1481"/>
        <w:gridCol w:w="1150"/>
        <w:gridCol w:w="905"/>
        <w:gridCol w:w="1970"/>
        <w:gridCol w:w="967"/>
        <w:gridCol w:w="1036"/>
        <w:gridCol w:w="2336"/>
      </w:tblGrid>
      <w:tr w:rsidR="00E63EDB" w:rsidRPr="00E63EDB" w:rsidTr="00E63EDB">
        <w:trPr>
          <w:trHeight w:val="1305"/>
        </w:trPr>
        <w:tc>
          <w:tcPr>
            <w:tcW w:w="152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EDB" w:rsidRPr="00E63EDB" w:rsidRDefault="00E63EDB" w:rsidP="004B1E4F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bookmarkStart w:id="0" w:name="RANGE!A1:L56"/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АКТ                                                                                                                                                                          ОБЩЕГО (</w:t>
            </w:r>
            <w:r w:rsidR="004B1E4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</w:t>
            </w: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СЕННЕГО) ОСМОТРА ОБЩЕГО ИМУЩЕСТВА МНОГОКВАРТИРНОГО ДОМА, РАСПОЛОЖЕННОГО ПО АДРЕСУ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:у</w:t>
            </w:r>
            <w:proofErr w:type="gramEnd"/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л. Луговая, 53</w:t>
            </w:r>
            <w:bookmarkEnd w:id="0"/>
          </w:p>
        </w:tc>
      </w:tr>
      <w:tr w:rsidR="00E63EDB" w:rsidRPr="00E63EDB" w:rsidTr="00E63EDB">
        <w:trPr>
          <w:trHeight w:val="405"/>
        </w:trPr>
        <w:tc>
          <w:tcPr>
            <w:tcW w:w="152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г. Владивосток                                                                                                                   25 августа 2021 г.</w:t>
            </w:r>
          </w:p>
        </w:tc>
      </w:tr>
      <w:tr w:rsidR="00E63EDB" w:rsidRPr="00E63EDB" w:rsidTr="00E63EDB">
        <w:trPr>
          <w:trHeight w:val="420"/>
        </w:trPr>
        <w:tc>
          <w:tcPr>
            <w:tcW w:w="152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ОБЩИЕ СВЕДЕНИЯ</w:t>
            </w:r>
          </w:p>
        </w:tc>
      </w:tr>
      <w:tr w:rsidR="00E63EDB" w:rsidRPr="00E63EDB" w:rsidTr="00E63EDB">
        <w:trPr>
          <w:trHeight w:val="4804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ООО «Управляющая компания СТАНДАРТ»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ИНН / КПП:  2537054082 / 253701001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ОГРН: 1082537004395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БИК: 040507705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Телефон (приёмная): 8(423) 253-69-87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Телефон (диспетчер): 8(423) 201-28-21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</w: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р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/сч: 40702810500080000281 в ПАО «Дальневосточный банк» г. Владивостока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Кор/сч: 30101810900000000705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e-</w:t>
            </w:r>
            <w:proofErr w:type="spell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mail</w:t>
            </w:r>
            <w:proofErr w:type="spell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: ukstandart-dv@mail.ru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E63EDB" w:rsidRPr="00E63EDB" w:rsidTr="00E63EDB">
        <w:trPr>
          <w:trHeight w:val="48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1. Тип МКД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многоквартирный дом</w:t>
            </w:r>
          </w:p>
        </w:tc>
      </w:tr>
      <w:tr w:rsidR="00E63EDB" w:rsidRPr="00E63EDB" w:rsidTr="00E63EDB">
        <w:trPr>
          <w:trHeight w:val="949"/>
        </w:trPr>
        <w:tc>
          <w:tcPr>
            <w:tcW w:w="46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2. Год постройки (ввода в эксплуатацию)</w:t>
            </w:r>
          </w:p>
        </w:tc>
        <w:tc>
          <w:tcPr>
            <w:tcW w:w="2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1970</w:t>
            </w:r>
          </w:p>
        </w:tc>
        <w:tc>
          <w:tcPr>
            <w:tcW w:w="602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2018</w:t>
            </w:r>
          </w:p>
        </w:tc>
      </w:tr>
      <w:tr w:rsidR="00E63EDB" w:rsidRPr="00E63EDB" w:rsidTr="00E63EDB">
        <w:trPr>
          <w:trHeight w:val="405"/>
        </w:trPr>
        <w:tc>
          <w:tcPr>
            <w:tcW w:w="15280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E63EDB" w:rsidRPr="00E63EDB" w:rsidTr="00E63EDB">
        <w:trPr>
          <w:trHeight w:val="405"/>
        </w:trPr>
        <w:tc>
          <w:tcPr>
            <w:tcW w:w="6916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Программы капитального ремонта: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по видам работ</w:t>
            </w:r>
          </w:p>
        </w:tc>
      </w:tr>
      <w:tr w:rsidR="00E63EDB" w:rsidRPr="00E63EDB" w:rsidTr="00E63EDB">
        <w:trPr>
          <w:trHeight w:val="810"/>
        </w:trPr>
        <w:tc>
          <w:tcPr>
            <w:tcW w:w="6916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кровля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ОПУ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фасад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ГВС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ХВС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и другие      виды работ</w:t>
            </w:r>
          </w:p>
        </w:tc>
      </w:tr>
      <w:tr w:rsidR="00E63EDB" w:rsidRPr="00E63EDB" w:rsidTr="00E63EDB">
        <w:trPr>
          <w:trHeight w:val="405"/>
        </w:trPr>
        <w:tc>
          <w:tcPr>
            <w:tcW w:w="691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Выделено сре</w:t>
            </w: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дств вс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его,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05"/>
        </w:trPr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 том числе:</w:t>
            </w:r>
          </w:p>
        </w:tc>
        <w:tc>
          <w:tcPr>
            <w:tcW w:w="5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фондом ЖКХ,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05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субьектом РФ,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675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муниципалитетом,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900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05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собственниками жилья, руб.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518"/>
        </w:trPr>
        <w:tc>
          <w:tcPr>
            <w:tcW w:w="109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43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152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6. Характеристика объекта</w:t>
            </w:r>
          </w:p>
        </w:tc>
      </w:tr>
      <w:tr w:rsidR="00E63EDB" w:rsidRPr="00E63EDB" w:rsidTr="00E63EDB">
        <w:trPr>
          <w:trHeight w:val="829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износ, %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64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этажность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количество подъездов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8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количество квартир</w:t>
            </w:r>
          </w:p>
        </w:tc>
        <w:tc>
          <w:tcPr>
            <w:tcW w:w="43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60</w:t>
            </w:r>
          </w:p>
        </w:tc>
      </w:tr>
      <w:tr w:rsidR="00E63EDB" w:rsidRPr="00E63EDB" w:rsidTr="00E63EDB">
        <w:trPr>
          <w:trHeight w:val="368"/>
        </w:trPr>
        <w:tc>
          <w:tcPr>
            <w:tcW w:w="18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общая площадь дома, </w:t>
            </w:r>
            <w:proofErr w:type="spell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кв.м</w:t>
            </w:r>
            <w:proofErr w:type="spell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3 075,80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общая площадь жилых помещений, </w:t>
            </w:r>
            <w:proofErr w:type="spell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кв.м</w:t>
            </w:r>
            <w:proofErr w:type="spell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4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2 691,70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общая площадь нежилых помещений, </w:t>
            </w:r>
            <w:proofErr w:type="spell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кв.м</w:t>
            </w:r>
            <w:proofErr w:type="spell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общая площадь мест общего пользования, </w:t>
            </w:r>
            <w:proofErr w:type="spell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кв.м</w:t>
            </w:r>
            <w:proofErr w:type="spell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.,</w:t>
            </w:r>
          </w:p>
        </w:tc>
        <w:tc>
          <w:tcPr>
            <w:tcW w:w="23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384,1</w:t>
            </w:r>
          </w:p>
        </w:tc>
      </w:tr>
      <w:tr w:rsidR="00E63EDB" w:rsidRPr="00E63EDB" w:rsidTr="00E63EDB">
        <w:trPr>
          <w:trHeight w:val="1800"/>
        </w:trPr>
        <w:tc>
          <w:tcPr>
            <w:tcW w:w="18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3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E63EDB" w:rsidRPr="00E63EDB" w:rsidTr="00E63EDB">
        <w:trPr>
          <w:trHeight w:val="383"/>
        </w:trPr>
        <w:tc>
          <w:tcPr>
            <w:tcW w:w="15280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7. Инженерное оборудование</w:t>
            </w:r>
          </w:p>
        </w:tc>
      </w:tr>
      <w:tr w:rsidR="00E63EDB" w:rsidRPr="00E63EDB" w:rsidTr="00E63EDB">
        <w:trPr>
          <w:trHeight w:val="886"/>
        </w:trPr>
        <w:tc>
          <w:tcPr>
            <w:tcW w:w="34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наименование 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количество, шт.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наличие общедомовых приборов учета</w:t>
            </w:r>
          </w:p>
        </w:tc>
        <w:tc>
          <w:tcPr>
            <w:tcW w:w="6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примечание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тепловой пункт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водомерный узел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тепловой ввод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водопроводный ввод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электрический ввод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Да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газовый ввод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система АППЗ и ДУ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лифты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6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623"/>
        </w:trPr>
        <w:tc>
          <w:tcPr>
            <w:tcW w:w="152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8. Описание основных конструктивных элементов</w:t>
            </w:r>
          </w:p>
        </w:tc>
      </w:tr>
      <w:tr w:rsidR="00E63EDB" w:rsidRPr="00E63EDB" w:rsidTr="00E63EDB">
        <w:trPr>
          <w:trHeight w:val="949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элемента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площадь, </w:t>
            </w:r>
            <w:proofErr w:type="spellStart"/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кв.м</w:t>
            </w:r>
            <w:proofErr w:type="spellEnd"/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98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описание</w:t>
            </w:r>
          </w:p>
        </w:tc>
      </w:tr>
      <w:tr w:rsidR="00E63EDB" w:rsidRPr="00E63EDB" w:rsidTr="00E63EDB">
        <w:trPr>
          <w:trHeight w:val="1369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кровля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420.00</w:t>
            </w:r>
          </w:p>
        </w:tc>
        <w:tc>
          <w:tcPr>
            <w:tcW w:w="9845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Кровля плоская, совмещенная; из рулонных гидроизоляционных материалов. Водосток внутренний, организованный.</w:t>
            </w:r>
          </w:p>
        </w:tc>
      </w:tr>
      <w:tr w:rsidR="00E63EDB" w:rsidRPr="00E63EDB" w:rsidTr="00E63EDB">
        <w:trPr>
          <w:trHeight w:val="829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стены наружные (фасад)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2639.34</w:t>
            </w:r>
          </w:p>
        </w:tc>
        <w:tc>
          <w:tcPr>
            <w:tcW w:w="98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Кладка из керамического кирпича на цементно-песчаном растворе. </w:t>
            </w:r>
          </w:p>
        </w:tc>
      </w:tr>
      <w:tr w:rsidR="00E63EDB" w:rsidRPr="00E63EDB" w:rsidTr="00E63EDB">
        <w:trPr>
          <w:trHeight w:val="938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стены внутренние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408.79</w:t>
            </w:r>
          </w:p>
        </w:tc>
        <w:tc>
          <w:tcPr>
            <w:tcW w:w="98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Кладка из керамического кирпича на цементно-песчаном растворе. </w:t>
            </w:r>
          </w:p>
        </w:tc>
      </w:tr>
      <w:tr w:rsidR="00E63EDB" w:rsidRPr="00E63EDB" w:rsidTr="00E63EDB">
        <w:trPr>
          <w:trHeight w:val="90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перекрытия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4620.00</w:t>
            </w:r>
          </w:p>
        </w:tc>
        <w:tc>
          <w:tcPr>
            <w:tcW w:w="98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Выполнены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из сборных железобетонных многопустотных плит</w:t>
            </w:r>
          </w:p>
        </w:tc>
      </w:tr>
      <w:tr w:rsidR="00E63EDB" w:rsidRPr="00E63EDB" w:rsidTr="00E63EDB">
        <w:trPr>
          <w:trHeight w:val="22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лестницы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157.00</w:t>
            </w:r>
          </w:p>
        </w:tc>
        <w:tc>
          <w:tcPr>
            <w:tcW w:w="9845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Выполнены из железобетонных сборных конструкций с </w:t>
            </w:r>
            <w:proofErr w:type="spell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опиранием</w:t>
            </w:r>
            <w:proofErr w:type="spell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на межэтажные перекрытия.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Ограждения – металлические с креплением через закладные детали. Деревянные поручни.</w:t>
            </w:r>
          </w:p>
        </w:tc>
      </w:tr>
      <w:tr w:rsidR="00E63EDB" w:rsidRPr="00E63EDB" w:rsidTr="00E63EDB">
        <w:trPr>
          <w:trHeight w:val="552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Оконные заполнения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13.50</w:t>
            </w:r>
          </w:p>
        </w:tc>
        <w:tc>
          <w:tcPr>
            <w:tcW w:w="98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Пластиковые</w:t>
            </w:r>
          </w:p>
        </w:tc>
      </w:tr>
      <w:tr w:rsidR="00E63EDB" w:rsidRPr="00E63EDB" w:rsidTr="00E63EDB">
        <w:trPr>
          <w:trHeight w:val="120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Дверные заполнения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8.0</w:t>
            </w:r>
          </w:p>
        </w:tc>
        <w:tc>
          <w:tcPr>
            <w:tcW w:w="984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Входные двери - металлические, оборудованы домофоном. Двери выходов на чердак, входа в подвал, в </w:t>
            </w:r>
            <w:proofErr w:type="spell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мусорокамеру</w:t>
            </w:r>
            <w:proofErr w:type="spell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– деревянные, обитые  металлом. </w:t>
            </w:r>
          </w:p>
        </w:tc>
      </w:tr>
      <w:tr w:rsidR="00E63EDB" w:rsidRPr="00E63EDB" w:rsidTr="00E63EDB">
        <w:trPr>
          <w:trHeight w:val="54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фундамент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125.9</w:t>
            </w:r>
          </w:p>
        </w:tc>
        <w:tc>
          <w:tcPr>
            <w:tcW w:w="98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из железобетонных блоков</w:t>
            </w:r>
          </w:p>
        </w:tc>
      </w:tr>
      <w:tr w:rsidR="00E63EDB" w:rsidRPr="00E63EDB" w:rsidTr="00E63EDB">
        <w:trPr>
          <w:trHeight w:val="552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подвал</w:t>
            </w:r>
          </w:p>
        </w:tc>
        <w:tc>
          <w:tcPr>
            <w:tcW w:w="1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46.10</w:t>
            </w:r>
          </w:p>
        </w:tc>
        <w:tc>
          <w:tcPr>
            <w:tcW w:w="98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Стены – фундаментные блоки. </w:t>
            </w:r>
          </w:p>
        </w:tc>
      </w:tr>
      <w:tr w:rsidR="00E63EDB" w:rsidRPr="00E63EDB" w:rsidTr="00E63EDB">
        <w:trPr>
          <w:trHeight w:val="649"/>
        </w:trPr>
        <w:tc>
          <w:tcPr>
            <w:tcW w:w="15280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9. Описание внутренних инженерных систем</w:t>
            </w:r>
          </w:p>
        </w:tc>
      </w:tr>
      <w:tr w:rsidR="00E63EDB" w:rsidRPr="00E63EDB" w:rsidTr="00E63EDB">
        <w:trPr>
          <w:trHeight w:val="480"/>
        </w:trPr>
        <w:tc>
          <w:tcPr>
            <w:tcW w:w="347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системы</w:t>
            </w:r>
          </w:p>
        </w:tc>
        <w:tc>
          <w:tcPr>
            <w:tcW w:w="11804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описание</w:t>
            </w:r>
          </w:p>
        </w:tc>
      </w:tr>
      <w:tr w:rsidR="00E63EDB" w:rsidRPr="00E63EDB" w:rsidTr="00E63EDB">
        <w:trPr>
          <w:trHeight w:val="1764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электроснабжение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Централизованное, от городских сетей МУПВ «ВПЭС». Установлены 2 измерительных комплекса учёта в составе: 1) прибор учёта ПСЧ-3ТА.07.112.2  09004907 измерительные трансформаторы тока Т-0.66 М УЗ №№ 53241, 53243, 53244 2) прибор учёта ПСЧ-3ТА.07.112.2  09004774  измерительные трансформаторы тока №№ 54107, 54112, 54113</w:t>
            </w:r>
          </w:p>
        </w:tc>
      </w:tr>
      <w:tr w:rsidR="00E63EDB" w:rsidRPr="00E63EDB" w:rsidTr="00E63EDB">
        <w:trPr>
          <w:trHeight w:val="829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горячее водоснабжение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Централизованная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, от сетей МУПВ «ВПЭС».  </w:t>
            </w: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Выполнена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стальными           водогазопроводными трубами.</w:t>
            </w:r>
          </w:p>
        </w:tc>
      </w:tr>
      <w:tr w:rsidR="00E63EDB" w:rsidRPr="00E63EDB" w:rsidTr="00E63EDB">
        <w:trPr>
          <w:trHeight w:val="975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холодное водоснабжение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Централизованная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, от городских сетей КГУП «Приморский водоканал», выполнена стальными водогазопроводными  трубами</w:t>
            </w:r>
          </w:p>
        </w:tc>
      </w:tr>
      <w:tr w:rsidR="00E63EDB" w:rsidRPr="00E63EDB" w:rsidTr="00E63EDB">
        <w:trPr>
          <w:trHeight w:val="852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водоотведение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Централизованная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, выпуск в городские сети КГУП «Приморский водоканал», выполнена чугунными  трубами. </w:t>
            </w:r>
          </w:p>
        </w:tc>
      </w:tr>
      <w:tr w:rsidR="00E63EDB" w:rsidRPr="00E63EDB" w:rsidTr="00E63EDB">
        <w:trPr>
          <w:trHeight w:val="126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отопление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Централизованная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, от сетей МУПВ «ВПЭС».  </w:t>
            </w: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Выполнена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стальными           водогазопроводными трубами. Установлен 1 тепловой узел в подвальном помещении.</w:t>
            </w:r>
          </w:p>
        </w:tc>
      </w:tr>
      <w:tr w:rsidR="00E63EDB" w:rsidRPr="00E63EDB" w:rsidTr="00E63EDB">
        <w:trPr>
          <w:trHeight w:val="589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вентиляция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Естественная, вытяжная </w:t>
            </w:r>
          </w:p>
        </w:tc>
      </w:tr>
      <w:tr w:rsidR="00E63EDB" w:rsidRPr="00E63EDB" w:rsidTr="00E63EDB">
        <w:trPr>
          <w:trHeight w:val="1185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мусоропровод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асбоцементными трубами, мусороприёмные ковши установлены в коридорах на каждом этаже, мусороприёмная камера устроена в подвальном помещении.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АППЗ и ДУ</w:t>
            </w:r>
          </w:p>
        </w:tc>
        <w:tc>
          <w:tcPr>
            <w:tcW w:w="1180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Отсутствует</w:t>
            </w:r>
          </w:p>
        </w:tc>
      </w:tr>
      <w:tr w:rsidR="00E63EDB" w:rsidRPr="00E63EDB" w:rsidTr="00E63EDB">
        <w:trPr>
          <w:trHeight w:val="405"/>
        </w:trPr>
        <w:tc>
          <w:tcPr>
            <w:tcW w:w="15280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10. Источники:</w:t>
            </w:r>
          </w:p>
        </w:tc>
      </w:tr>
      <w:tr w:rsidR="00E63EDB" w:rsidRPr="00E63EDB" w:rsidTr="00E63EDB">
        <w:trPr>
          <w:trHeight w:val="405"/>
        </w:trPr>
        <w:tc>
          <w:tcPr>
            <w:tcW w:w="34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теплоснабжения</w:t>
            </w:r>
          </w:p>
        </w:tc>
        <w:tc>
          <w:tcPr>
            <w:tcW w:w="11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ОА "ДГК"</w:t>
            </w:r>
          </w:p>
        </w:tc>
      </w:tr>
      <w:tr w:rsidR="00E63EDB" w:rsidRPr="00E63EDB" w:rsidTr="00E63EDB">
        <w:trPr>
          <w:trHeight w:val="405"/>
        </w:trPr>
        <w:tc>
          <w:tcPr>
            <w:tcW w:w="34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энергоснабжения</w:t>
            </w:r>
          </w:p>
        </w:tc>
        <w:tc>
          <w:tcPr>
            <w:tcW w:w="11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ПАО "ДЭК"</w:t>
            </w:r>
          </w:p>
        </w:tc>
      </w:tr>
      <w:tr w:rsidR="00E63EDB" w:rsidRPr="00E63EDB" w:rsidTr="00E63EDB">
        <w:trPr>
          <w:trHeight w:val="405"/>
        </w:trPr>
        <w:tc>
          <w:tcPr>
            <w:tcW w:w="34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водоснабжения</w:t>
            </w:r>
          </w:p>
        </w:tc>
        <w:tc>
          <w:tcPr>
            <w:tcW w:w="11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КГУП "Приморский водоканал"</w:t>
            </w:r>
          </w:p>
        </w:tc>
      </w:tr>
      <w:tr w:rsidR="00E63EDB" w:rsidRPr="00E63EDB" w:rsidTr="00E63EDB">
        <w:trPr>
          <w:trHeight w:val="420"/>
        </w:trPr>
        <w:tc>
          <w:tcPr>
            <w:tcW w:w="34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газоснабжения</w:t>
            </w:r>
          </w:p>
        </w:tc>
        <w:tc>
          <w:tcPr>
            <w:tcW w:w="11804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отсутствует</w:t>
            </w:r>
          </w:p>
        </w:tc>
      </w:tr>
    </w:tbl>
    <w:p w:rsidR="001851B4" w:rsidRDefault="001851B4"/>
    <w:p w:rsidR="00E63EDB" w:rsidRDefault="00E63EDB" w:rsidP="00E63EDB">
      <w:r w:rsidRPr="00E63EDB">
        <w:rPr>
          <w:b/>
        </w:rPr>
        <w:t>Комиссия в составе:</w:t>
      </w:r>
      <w:r w:rsidRPr="00E63EDB">
        <w:t xml:space="preserve"> </w:t>
      </w:r>
    </w:p>
    <w:p w:rsidR="00E63EDB" w:rsidRPr="00E63EDB" w:rsidRDefault="00E63EDB" w:rsidP="00E63EDB">
      <w:r w:rsidRPr="00E63EDB">
        <w:t>Председатель комиссии:</w:t>
      </w:r>
    </w:p>
    <w:p w:rsidR="00E63EDB" w:rsidRPr="00E63EDB" w:rsidRDefault="00E63EDB" w:rsidP="00E63EDB">
      <w:r w:rsidRPr="00E63EDB">
        <w:t xml:space="preserve">Главный инженер ООО "УК СТАНДАРТ" </w:t>
      </w:r>
      <w:r w:rsidR="004B1E4F">
        <w:t>Цылёв А.А.</w:t>
      </w:r>
    </w:p>
    <w:p w:rsidR="00E63EDB" w:rsidRPr="00E63EDB" w:rsidRDefault="00E63EDB" w:rsidP="00E63EDB">
      <w:r w:rsidRPr="00E63EDB">
        <w:t>Члены комиссии:  Заместитель генерального директор</w:t>
      </w:r>
      <w:proofErr w:type="gramStart"/>
      <w:r w:rsidRPr="00E63EDB">
        <w:t>а ООО</w:t>
      </w:r>
      <w:proofErr w:type="gramEnd"/>
      <w:r w:rsidRPr="00E63EDB">
        <w:t xml:space="preserve"> "УК СТАНДАРТ"  Климовский А.Д.</w:t>
      </w:r>
    </w:p>
    <w:p w:rsidR="00E63EDB" w:rsidRPr="00E63EDB" w:rsidRDefault="00E63EDB" w:rsidP="00E63EDB">
      <w:r w:rsidRPr="00E63EDB">
        <w:t>Представитель собственников помещений:  Председатель Совета МКД   Тюрин В.В.</w:t>
      </w: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7"/>
        <w:gridCol w:w="2562"/>
        <w:gridCol w:w="4598"/>
        <w:gridCol w:w="6742"/>
      </w:tblGrid>
      <w:tr w:rsidR="00E63EDB" w:rsidRPr="00E63EDB" w:rsidTr="00E63EDB">
        <w:trPr>
          <w:trHeight w:val="854"/>
        </w:trPr>
        <w:tc>
          <w:tcPr>
            <w:tcW w:w="1489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произвела общий (</w:t>
            </w:r>
            <w:r w:rsidR="004B1E4F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сенний) осмотр элементов общего имущества многоквартирного дома.                                              При осмотре установлено следующее:</w:t>
            </w:r>
          </w:p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E63EDB" w:rsidRPr="00E63EDB" w:rsidTr="00E63EDB">
        <w:trPr>
          <w:trHeight w:val="58"/>
        </w:trPr>
        <w:tc>
          <w:tcPr>
            <w:tcW w:w="14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РЕЗУЛЬТАТЫ ОСМОТРА   КОНСТРУКЦИЙ И ИНЖЕНЕРНОГО ОБОРУДОВАНИЯ</w:t>
            </w:r>
          </w:p>
        </w:tc>
      </w:tr>
      <w:tr w:rsidR="00E63EDB" w:rsidRPr="00E63EDB" w:rsidTr="00E63EDB">
        <w:trPr>
          <w:trHeight w:val="2445"/>
        </w:trPr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№ </w:t>
            </w:r>
            <w:proofErr w:type="gramStart"/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</w:t>
            </w:r>
            <w:proofErr w:type="gramEnd"/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/п</w:t>
            </w:r>
          </w:p>
        </w:tc>
        <w:tc>
          <w:tcPr>
            <w:tcW w:w="256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45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Оценка технического состояния конструктивных элементов и инженерного оборудования, в том числе процент износа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Дефекты, выявленные при осмотре</w:t>
            </w:r>
          </w:p>
        </w:tc>
      </w:tr>
      <w:tr w:rsidR="00E63EDB" w:rsidRPr="00E63EDB" w:rsidTr="00E63EDB">
        <w:trPr>
          <w:trHeight w:val="143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Фундамент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 xml:space="preserve">Состояние удовлетворительное. Процент износа  - 70%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Трещины в швах между блоками, следы увлажнения стен подвала. Ширина трещин до 2 мм, разрушение швов на глубину до 1 см на площади до 10 %</w:t>
            </w:r>
          </w:p>
        </w:tc>
      </w:tr>
      <w:tr w:rsidR="00E63EDB" w:rsidRPr="00E63EDB" w:rsidTr="00E63EDB">
        <w:trPr>
          <w:trHeight w:val="1516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Цоколь (подвал)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 xml:space="preserve">Состояние удовлетворительное.  Процент износа  - 70%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Трещины в швах между блоками, следы увлажнения стен подвала, Ширина трещин до 2 мм, разрушение швов на глубину до 1 см на площади до 10 %</w:t>
            </w:r>
          </w:p>
        </w:tc>
      </w:tr>
      <w:tr w:rsidR="00E63EDB" w:rsidRPr="00E63EDB" w:rsidTr="00E63EDB">
        <w:trPr>
          <w:trHeight w:val="1126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Стены наружные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 xml:space="preserve">Состояние неудовлетворительное. Процент износа  - 80% 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Со стороны фасада: выветривание швов. Ширина трещин до 2 мм, разрушение швов на глубину до 1 см на площади до 10 %</w:t>
            </w:r>
          </w:p>
        </w:tc>
      </w:tr>
      <w:tr w:rsidR="00E63EDB" w:rsidRPr="00E63EDB" w:rsidTr="00E63EDB">
        <w:trPr>
          <w:trHeight w:val="1128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Стены внутренние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Состояние удовлетворительное. Процент износа  - 55%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 xml:space="preserve">Произвести визуальный осмотр не представилось </w:t>
            </w:r>
            <w:proofErr w:type="gramStart"/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возможным</w:t>
            </w:r>
            <w:proofErr w:type="gramEnd"/>
            <w:r w:rsidRPr="00E63EDB">
              <w:rPr>
                <w:rFonts w:eastAsia="Times New Roman"/>
                <w:sz w:val="32"/>
                <w:szCs w:val="32"/>
                <w:lang w:eastAsia="ru-RU"/>
              </w:rPr>
              <w:t>.</w:t>
            </w:r>
          </w:p>
        </w:tc>
      </w:tr>
      <w:tr w:rsidR="00E63EDB" w:rsidRPr="00E63EDB" w:rsidTr="00E63EDB">
        <w:trPr>
          <w:trHeight w:val="1127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Фасад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Состояние неудовлетворительное. Процент износа  - 80%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Выветривание швов. Ширина трещин до 2 мм, разрушение швов на глубину до 1 см на площади до 10 %</w:t>
            </w:r>
          </w:p>
        </w:tc>
      </w:tr>
      <w:tr w:rsidR="00E63EDB" w:rsidRPr="00E63EDB" w:rsidTr="00E63EDB">
        <w:trPr>
          <w:trHeight w:val="1128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Несущие и ограждающие конструкции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Состояние неудовлетворительное. Процент износа  - 80%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Выветривание швов. Ширина трещин до 2 мм, разрушение швов на глубину до 1 см на площади до 10 %</w:t>
            </w:r>
          </w:p>
        </w:tc>
      </w:tr>
      <w:tr w:rsidR="00E63EDB" w:rsidRPr="00E63EDB" w:rsidTr="00E63EDB">
        <w:trPr>
          <w:trHeight w:val="1116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Водостоки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Состояние удовлетворительное.</w:t>
            </w:r>
            <w:r>
              <w:rPr>
                <w:rFonts w:eastAsia="Times New Roman"/>
                <w:sz w:val="32"/>
                <w:szCs w:val="32"/>
                <w:lang w:eastAsia="ru-RU"/>
              </w:rPr>
              <w:t xml:space="preserve">            </w:t>
            </w:r>
            <w:r w:rsidRPr="00E63EDB">
              <w:rPr>
                <w:rFonts w:eastAsia="Times New Roman"/>
                <w:sz w:val="32"/>
                <w:szCs w:val="32"/>
                <w:lang w:eastAsia="ru-RU"/>
              </w:rPr>
              <w:t xml:space="preserve"> Процент износа  - 80%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При визуальном осмотре дефекты не выявлены</w:t>
            </w:r>
          </w:p>
        </w:tc>
      </w:tr>
      <w:tr w:rsidR="00E63EDB" w:rsidRPr="00E63EDB" w:rsidTr="00E63EDB">
        <w:trPr>
          <w:trHeight w:val="1119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Перекрытия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Состояние удовлетворительное.</w:t>
            </w:r>
            <w:r>
              <w:rPr>
                <w:rFonts w:eastAsia="Times New Roman"/>
                <w:sz w:val="32"/>
                <w:szCs w:val="32"/>
                <w:lang w:eastAsia="ru-RU"/>
              </w:rPr>
              <w:t xml:space="preserve">             </w:t>
            </w:r>
            <w:r w:rsidRPr="00E63EDB">
              <w:rPr>
                <w:rFonts w:eastAsia="Times New Roman"/>
                <w:sz w:val="32"/>
                <w:szCs w:val="32"/>
                <w:lang w:eastAsia="ru-RU"/>
              </w:rPr>
              <w:t xml:space="preserve"> Процент износа  - 50%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 xml:space="preserve">Произвести визуальный осмотр не представилось </w:t>
            </w:r>
            <w:proofErr w:type="gramStart"/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возможным</w:t>
            </w:r>
            <w:proofErr w:type="gramEnd"/>
            <w:r w:rsidRPr="00E63EDB">
              <w:rPr>
                <w:rFonts w:eastAsia="Times New Roman"/>
                <w:sz w:val="32"/>
                <w:szCs w:val="32"/>
                <w:lang w:eastAsia="ru-RU"/>
              </w:rPr>
              <w:t>.</w:t>
            </w:r>
          </w:p>
        </w:tc>
      </w:tr>
      <w:tr w:rsidR="00E63EDB" w:rsidRPr="00E63EDB" w:rsidTr="00E63EDB">
        <w:trPr>
          <w:trHeight w:val="1135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9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Отмостка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 xml:space="preserve"> Состояние неудовлетворительное. Процент износа  - 80%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Массовые разрушения покрытия и основания</w:t>
            </w:r>
          </w:p>
        </w:tc>
      </w:tr>
      <w:tr w:rsidR="00E63EDB" w:rsidRPr="00E63EDB" w:rsidTr="00E63EDB">
        <w:trPr>
          <w:trHeight w:val="1123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Кровля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Состояние удовлетворительное. Процент износа  - 25%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При визуальном осмотре дефекты не выявлены</w:t>
            </w:r>
          </w:p>
        </w:tc>
      </w:tr>
      <w:tr w:rsidR="00E63EDB" w:rsidRPr="00E63EDB" w:rsidTr="00E63EDB">
        <w:trPr>
          <w:trHeight w:val="1408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Полы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Состояние неудовлетворительное. Процент износа  - 80%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Отдельные мелкие выбоины и волосные трещины, незначительные повреждения плинтусов Стирание поверхности в ходовых местах; выбоины до 0,5 м</w:t>
            </w:r>
            <w:proofErr w:type="gramStart"/>
            <w:r w:rsidRPr="00E63EDB">
              <w:rPr>
                <w:rFonts w:eastAsia="Times New Roman"/>
                <w:sz w:val="32"/>
                <w:szCs w:val="32"/>
                <w:vertAlign w:val="superscript"/>
                <w:lang w:eastAsia="ru-RU"/>
              </w:rPr>
              <w:t>2</w:t>
            </w:r>
            <w:proofErr w:type="gramEnd"/>
            <w:r w:rsidRPr="00E63EDB">
              <w:rPr>
                <w:rFonts w:eastAsia="Times New Roman"/>
                <w:sz w:val="32"/>
                <w:szCs w:val="32"/>
                <w:lang w:eastAsia="ru-RU"/>
              </w:rPr>
              <w:t xml:space="preserve"> на площади до 25 %</w:t>
            </w:r>
          </w:p>
        </w:tc>
      </w:tr>
      <w:tr w:rsidR="00E63EDB" w:rsidRPr="00E63EDB" w:rsidTr="00E63EDB">
        <w:trPr>
          <w:trHeight w:val="1061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Перегородки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Состояние удовлетворительное. Процент износа- 50%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 xml:space="preserve">Произвести визуальный осмотр не представилось </w:t>
            </w:r>
            <w:proofErr w:type="gramStart"/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возможным</w:t>
            </w:r>
            <w:proofErr w:type="gramEnd"/>
            <w:r w:rsidRPr="00E63EDB">
              <w:rPr>
                <w:rFonts w:eastAsia="Times New Roman"/>
                <w:sz w:val="32"/>
                <w:szCs w:val="32"/>
                <w:lang w:eastAsia="ru-RU"/>
              </w:rPr>
              <w:t>.</w:t>
            </w:r>
          </w:p>
        </w:tc>
      </w:tr>
      <w:tr w:rsidR="00E63EDB" w:rsidRPr="00E63EDB" w:rsidTr="00E63EDB">
        <w:trPr>
          <w:trHeight w:val="1127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Оконные заполнения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Состояние удовлетворительное.        Процент износа - 20%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При визуальном осмотре  дефекты не выявлены</w:t>
            </w:r>
          </w:p>
        </w:tc>
      </w:tr>
      <w:tr w:rsidR="00E63EDB" w:rsidRPr="00E63EDB" w:rsidTr="00E63EDB">
        <w:trPr>
          <w:trHeight w:val="1129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Дверные заполнения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Состояние удовлетворительное.              Процент износа - 25%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Тамбурные двери отсутствуют.  Поэтажные двери частично отсутствуют.</w:t>
            </w:r>
            <w:r>
              <w:rPr>
                <w:rFonts w:eastAsia="Times New Roman"/>
                <w:sz w:val="32"/>
                <w:szCs w:val="32"/>
                <w:lang w:eastAsia="ru-RU"/>
              </w:rPr>
              <w:t xml:space="preserve"> </w:t>
            </w: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При визуальном осмотре иные дефекты не выявлены</w:t>
            </w:r>
          </w:p>
        </w:tc>
      </w:tr>
      <w:tr w:rsidR="00E63EDB" w:rsidRPr="00E63EDB" w:rsidTr="00E63EDB">
        <w:trPr>
          <w:trHeight w:val="1116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Лестничные клетки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Состояние удовлетворительное.   Процент износа - 70 %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Мелкие выбоины и трещины в ступенях, отдельные повреждения перил</w:t>
            </w:r>
          </w:p>
        </w:tc>
      </w:tr>
      <w:tr w:rsidR="00E63EDB" w:rsidRPr="00E63EDB" w:rsidTr="00E63EDB">
        <w:trPr>
          <w:trHeight w:val="1118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Балконы и лоджии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Состояние удовлетворительное. Процент износа  - 50%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При визуальном осмотре  дефекты не выявлены</w:t>
            </w:r>
          </w:p>
        </w:tc>
      </w:tr>
      <w:tr w:rsidR="00E63EDB" w:rsidRPr="00E63EDB" w:rsidTr="00E63EDB">
        <w:trPr>
          <w:trHeight w:val="3686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17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Общие коридоры и тамбуры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Состояние неудовлетворительное. Процент износа  - 80%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Штукатурка: глубокие трещины, мелкие пробоины, отслоение накрывочного слоя местами в углах и сопряжениях панелей Окраска водными составами: местные единичные повреждения окрасочного слоя, волосные трещины в рустах, в местах сопряжения потолков и стен. Окрас</w:t>
            </w:r>
            <w:r>
              <w:rPr>
                <w:rFonts w:eastAsia="Times New Roman"/>
                <w:sz w:val="32"/>
                <w:szCs w:val="32"/>
                <w:lang w:eastAsia="ru-RU"/>
              </w:rPr>
              <w:t>ка маслян</w:t>
            </w: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ыми красками: потемнение и загрязнение окрасочного слоя, матовые пятна и потеки</w:t>
            </w:r>
          </w:p>
        </w:tc>
      </w:tr>
      <w:tr w:rsidR="00E63EDB" w:rsidRPr="00E63EDB" w:rsidTr="00E63EDB">
        <w:trPr>
          <w:trHeight w:val="2970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отопления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Состояние неудовлетворительное. Процент износа  - 80%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Капельные течи в отопительных приборах и местах их врезки; следы протечек в отопительных приборах, следы их восстановления, большое количество хомутов на стояках и в магистралях, следы их ремонта отдельными местами и выборочной заменой; коррозия трубопроводов магистралей; неудовлетворительная работа радиаторов</w:t>
            </w:r>
          </w:p>
        </w:tc>
      </w:tr>
      <w:tr w:rsidR="00E63EDB" w:rsidRPr="00E63EDB" w:rsidTr="00E63EDB">
        <w:trPr>
          <w:trHeight w:val="1050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Автоматизированные тепловые пункты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Отсутствуют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1455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Отсутствуют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1905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21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Элеваторные узлы системы отопления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Состояние неудовлетворительное. Процент износа  - 80%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В положениях ВСН 53-86(р), отсутствуют данные в отношении элемента «элеваторные узлы системы отопления» о признаках дефектов, определяемых визуальным способом,</w:t>
            </w:r>
          </w:p>
        </w:tc>
      </w:tr>
      <w:tr w:rsidR="00E63EDB" w:rsidRPr="00E63EDB" w:rsidTr="00E63EDB">
        <w:trPr>
          <w:trHeight w:val="5096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горячего водоснабжения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Состояние неудовлетворительное. Процент износа  - 80%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 xml:space="preserve">Капельные течи в местах резьбовых соединений трубопроводов и врезки запорной арматуры; нарушение работы отдельных полотенцесушителей (течи, нарушение окраски, следы ремонта); нарушения теплоизоляции магистралей и стояков; поражение коррозией магистралей отдельными местами. Неисправность смесителей и запорной арматуры; следы ремонта трубопроводов и магистралей (хомуты, заплаты, замена отдельных участков); неудовлетворительная работа полотенцесушителей; значительная коррозия трубопроводов </w:t>
            </w:r>
          </w:p>
        </w:tc>
      </w:tr>
      <w:tr w:rsidR="00E63EDB" w:rsidRPr="00E63EDB" w:rsidTr="00E63EDB">
        <w:trPr>
          <w:trHeight w:val="990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Отсутствуют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2545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24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холодного водоснабжения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 xml:space="preserve"> Процент износа по ВСН 53-86- (Р) - 80%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«Капельные течи в местах врезки кранов и запорной арматуры; отдельные повреждения трубопроводов (свищи, течи); поражение коррозией отдельных участков трубопроводов; следы ремонта трубопроводов (хомуты, заварка, замена отдельных участков); значительная коррозия трубопроводов».</w:t>
            </w:r>
          </w:p>
        </w:tc>
      </w:tr>
      <w:tr w:rsidR="00E63EDB" w:rsidRPr="00E63EDB" w:rsidTr="00E63EDB">
        <w:trPr>
          <w:trHeight w:val="1110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Отсутствует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889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газоснабжения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Отсутствует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1005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Отсутствуют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1947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канализации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Состояние неудовлетворительное. Процент износа  - 80%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Предельный срок эксплуатации чугунных трубопроводов истёк. Наличие течей в местах соединения трубопроводов и фасонных частей до 10 % всего количества; повреждения отдельных мест чугунных трубопроводов.</w:t>
            </w:r>
          </w:p>
        </w:tc>
      </w:tr>
      <w:tr w:rsidR="00E63EDB" w:rsidRPr="00E63EDB" w:rsidTr="00E63EDB">
        <w:trPr>
          <w:trHeight w:val="2967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29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электроснабжения и освещения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Состояние неудовлетворительное. Процент износа  - 55%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 xml:space="preserve">Повреждение изоляции магистральных сетей в отдельных местах, потеря эластичности изоляции проводов, открытые проводки покрыты значительным слоем краски, отсутствие части приборов и крышек к ним, следы ремонта вводно-распределительных устройств (ВРУ). Предельный срок эксплуатации </w:t>
            </w:r>
            <w:proofErr w:type="gramStart"/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ВРУ</w:t>
            </w:r>
            <w:proofErr w:type="gramEnd"/>
            <w:r w:rsidRPr="00E63EDB">
              <w:rPr>
                <w:rFonts w:eastAsia="Times New Roman"/>
                <w:sz w:val="32"/>
                <w:szCs w:val="32"/>
                <w:lang w:eastAsia="ru-RU"/>
              </w:rPr>
              <w:t xml:space="preserve"> истёк.</w:t>
            </w:r>
          </w:p>
        </w:tc>
      </w:tr>
      <w:tr w:rsidR="00F15F70" w:rsidRPr="00E63EDB" w:rsidTr="00CD0459">
        <w:trPr>
          <w:trHeight w:val="1553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5F70" w:rsidRPr="00E63EDB" w:rsidRDefault="00F15F70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70" w:rsidRPr="00E63EDB" w:rsidRDefault="00F15F70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70" w:rsidRPr="00A71AD2" w:rsidRDefault="00F15F70" w:rsidP="00F15F70">
            <w:pPr>
              <w:jc w:val="center"/>
              <w:rPr>
                <w:sz w:val="32"/>
                <w:szCs w:val="32"/>
              </w:rPr>
            </w:pPr>
            <w:r w:rsidRPr="00A71AD2">
              <w:rPr>
                <w:sz w:val="32"/>
                <w:szCs w:val="32"/>
              </w:rPr>
              <w:t>В соответствии с положениями  Федерального Закона от 26.03.2003 г. № 35-ФЗ «Об электроэнергетике» с 01.07.2020 года, общедомовые приборы учёта электроэнергии выведены из состава общего имущества собственников помещений МКД</w:t>
            </w:r>
            <w:bookmarkStart w:id="1" w:name="_GoBack"/>
            <w:bookmarkEnd w:id="1"/>
          </w:p>
        </w:tc>
      </w:tr>
      <w:tr w:rsidR="00E63EDB" w:rsidRPr="00E63EDB" w:rsidTr="00557DD3">
        <w:trPr>
          <w:trHeight w:val="979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вентиляции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 xml:space="preserve">Состояние удовлетворительное. </w:t>
            </w:r>
            <w:r w:rsidR="00557DD3">
              <w:rPr>
                <w:rFonts w:eastAsia="Times New Roman"/>
                <w:sz w:val="32"/>
                <w:szCs w:val="32"/>
                <w:lang w:eastAsia="ru-RU"/>
              </w:rPr>
              <w:t xml:space="preserve">            </w:t>
            </w: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Процент износа  - 50%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557DD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sz w:val="32"/>
                <w:szCs w:val="32"/>
                <w:lang w:eastAsia="ru-RU"/>
              </w:rPr>
              <w:t xml:space="preserve">Провести визуальный осмотр не представилось </w:t>
            </w:r>
            <w:proofErr w:type="gramStart"/>
            <w:r>
              <w:rPr>
                <w:rFonts w:eastAsia="Times New Roman"/>
                <w:sz w:val="32"/>
                <w:szCs w:val="32"/>
                <w:lang w:eastAsia="ru-RU"/>
              </w:rPr>
              <w:t>возможным</w:t>
            </w:r>
            <w:proofErr w:type="gramEnd"/>
          </w:p>
        </w:tc>
      </w:tr>
      <w:tr w:rsidR="00E63EDB" w:rsidRPr="00E63EDB" w:rsidTr="00557DD3">
        <w:trPr>
          <w:trHeight w:val="1137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Мусоропровод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 xml:space="preserve"> Состояние удовлетворительное. </w:t>
            </w:r>
            <w:r w:rsidR="00557DD3">
              <w:rPr>
                <w:rFonts w:eastAsia="Times New Roman"/>
                <w:sz w:val="32"/>
                <w:szCs w:val="32"/>
                <w:lang w:eastAsia="ru-RU"/>
              </w:rPr>
              <w:t xml:space="preserve">          </w:t>
            </w: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Процент износа  - 50%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Мелкие повреждения в стволе.</w:t>
            </w:r>
          </w:p>
        </w:tc>
      </w:tr>
      <w:tr w:rsidR="00E63EDB" w:rsidRPr="00E63EDB" w:rsidTr="00557DD3">
        <w:trPr>
          <w:trHeight w:val="699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Система АППЗ и дымоудаления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Отсутствует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557DD3">
        <w:trPr>
          <w:trHeight w:val="1093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Внутренний пожарный водопровод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Отсутствует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557DD3">
        <w:trPr>
          <w:trHeight w:val="1108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Переговорно-замочное устройство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Переговорно-замочное устройств</w:t>
            </w:r>
            <w:proofErr w:type="gramStart"/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о ООО</w:t>
            </w:r>
            <w:proofErr w:type="gramEnd"/>
            <w:r w:rsidRPr="00E63EDB">
              <w:rPr>
                <w:rFonts w:eastAsia="Times New Roman"/>
                <w:sz w:val="32"/>
                <w:szCs w:val="32"/>
                <w:lang w:eastAsia="ru-RU"/>
              </w:rPr>
              <w:t xml:space="preserve"> "УК СТАНДАРТ" не обслуживается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E63EDB" w:rsidRPr="00E63EDB" w:rsidTr="00E63EDB">
        <w:trPr>
          <w:trHeight w:val="1245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36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Лифтовое оборудование</w:t>
            </w: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557DD3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sz w:val="32"/>
                <w:szCs w:val="32"/>
                <w:lang w:eastAsia="ru-RU"/>
              </w:rPr>
              <w:t xml:space="preserve">Состояние удовлетворительное. Процент износа  - </w:t>
            </w:r>
            <w:r w:rsidR="00557DD3">
              <w:rPr>
                <w:rFonts w:eastAsia="Times New Roman"/>
                <w:sz w:val="32"/>
                <w:szCs w:val="32"/>
                <w:lang w:eastAsia="ru-RU"/>
              </w:rPr>
              <w:t>20</w:t>
            </w:r>
            <w:r w:rsidRPr="00E63EDB">
              <w:rPr>
                <w:rFonts w:eastAsia="Times New Roman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6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557DD3" w:rsidP="00E63EDB">
            <w:pPr>
              <w:rPr>
                <w:rFonts w:eastAsia="Times New Roman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sz w:val="32"/>
                <w:szCs w:val="32"/>
                <w:lang w:eastAsia="ru-RU"/>
              </w:rPr>
              <w:t>При визуальном осмотре дефекты не выявлены</w:t>
            </w:r>
          </w:p>
        </w:tc>
      </w:tr>
      <w:tr w:rsidR="00E63EDB" w:rsidRPr="00E63EDB" w:rsidTr="00E63EDB">
        <w:trPr>
          <w:trHeight w:val="1545"/>
        </w:trPr>
        <w:tc>
          <w:tcPr>
            <w:tcW w:w="14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DB" w:rsidRPr="00E63EDB" w:rsidRDefault="00E63EDB" w:rsidP="004B1E4F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Решение комиссии:  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На основании результатов общего (</w:t>
            </w:r>
            <w:r w:rsidR="004B1E4F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сеннего) осмотра комиссия считает, что здание многоквартирного дома по адресу: </w:t>
            </w: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Луговая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, 53 в г. Владивостоке, находится в ограниченно-работоспособном состоянии. Необходимо проведение следующих работ:</w:t>
            </w:r>
          </w:p>
        </w:tc>
      </w:tr>
      <w:tr w:rsidR="00E63EDB" w:rsidRPr="00E63EDB" w:rsidTr="00557DD3">
        <w:trPr>
          <w:trHeight w:val="1223"/>
        </w:trPr>
        <w:tc>
          <w:tcPr>
            <w:tcW w:w="9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№ </w:t>
            </w:r>
            <w:proofErr w:type="gramStart"/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</w:t>
            </w:r>
            <w:proofErr w:type="gramEnd"/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/п</w:t>
            </w:r>
          </w:p>
        </w:tc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Вид  ремонта 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E63EDB" w:rsidRPr="00E63EDB" w:rsidTr="00557DD3">
        <w:trPr>
          <w:trHeight w:val="1148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Текущий ремонт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557DD3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Фундамент, Цоколь (подвал) Дверные заполнения Оконные заполнения Лестничные клетки Система электроснабжения и освещения Общедомовые узлы учета потребления электроэнергии </w:t>
            </w:r>
          </w:p>
        </w:tc>
      </w:tr>
      <w:tr w:rsidR="00E63EDB" w:rsidRPr="00E63EDB" w:rsidTr="00557DD3">
        <w:trPr>
          <w:trHeight w:val="1402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Капитальный ремонт</w:t>
            </w:r>
          </w:p>
        </w:tc>
        <w:tc>
          <w:tcPr>
            <w:tcW w:w="1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Стены наружные Фасад Несущие и ограждающие конструкции Водостоки  Отмостка Полы Кровля Система отопления Элеваторные узлы системы отопления Система горячего водоснабжения Система холодного водоснабжения Система канализации Система электроснабжения и освещения Мусоропровод</w:t>
            </w:r>
          </w:p>
        </w:tc>
      </w:tr>
      <w:tr w:rsidR="00E63EDB" w:rsidRPr="00E63EDB" w:rsidTr="00557DD3">
        <w:trPr>
          <w:trHeight w:val="1763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DB" w:rsidRPr="00E63EDB" w:rsidRDefault="00E63EDB" w:rsidP="00E63EDB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После выполнения работ по капитальному ремонту Кровли Систем отопления Автоматизированных тепловых пунктов Общедомовых узлов </w:t>
            </w: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учета потребления тепловой энергии Элеваторных узлов системы отопления Системы горячего водоснабжения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Общедомовых узлов учета потребления ГВС необходимо проведение мероприятий по энергосбережению и энергоэффективности</w:t>
            </w:r>
          </w:p>
        </w:tc>
      </w:tr>
      <w:tr w:rsidR="00557DD3" w:rsidRPr="00E63EDB" w:rsidTr="00557DD3">
        <w:trPr>
          <w:trHeight w:val="4093"/>
        </w:trPr>
        <w:tc>
          <w:tcPr>
            <w:tcW w:w="1489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557DD3" w:rsidRDefault="00557DD3" w:rsidP="00557DD3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  <w:p w:rsidR="00557DD3" w:rsidRPr="00E63EDB" w:rsidRDefault="00557DD3" w:rsidP="00557DD3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Председатель комиссии:</w:t>
            </w:r>
          </w:p>
          <w:p w:rsidR="00557DD3" w:rsidRPr="00E63EDB" w:rsidRDefault="00557DD3" w:rsidP="00557DD3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Главный инженер ООО "УК СТАНДАРТ"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  </w:t>
            </w:r>
            <w:r w:rsidR="004B1E4F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Цылёв А.А.</w:t>
            </w:r>
          </w:p>
          <w:p w:rsidR="00557DD3" w:rsidRPr="00E63EDB" w:rsidRDefault="00557DD3" w:rsidP="00557DD3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Члены комиссии:</w:t>
            </w:r>
          </w:p>
          <w:p w:rsidR="00557DD3" w:rsidRPr="00E63EDB" w:rsidRDefault="00557DD3" w:rsidP="00557DD3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Заместитель генерального директор</w:t>
            </w:r>
            <w:proofErr w:type="gramStart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а ООО</w:t>
            </w:r>
            <w:proofErr w:type="gramEnd"/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"УК СТАНДАРТ"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 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Климовский А.Д.</w:t>
            </w:r>
          </w:p>
          <w:p w:rsidR="00557DD3" w:rsidRPr="00E63EDB" w:rsidRDefault="00557DD3" w:rsidP="00557DD3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Представитель  собственников помещений: Председатель совета МКД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</w:t>
            </w:r>
            <w:r w:rsidRPr="00E63EDB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Тюрин. В.В.</w:t>
            </w:r>
          </w:p>
        </w:tc>
      </w:tr>
    </w:tbl>
    <w:p w:rsidR="00E63EDB" w:rsidRPr="00E63EDB" w:rsidRDefault="00E63EDB" w:rsidP="00557DD3">
      <w:pPr>
        <w:rPr>
          <w:sz w:val="32"/>
          <w:szCs w:val="32"/>
        </w:rPr>
      </w:pPr>
    </w:p>
    <w:sectPr w:rsidR="00E63EDB" w:rsidRPr="00E63EDB" w:rsidSect="00557DD3">
      <w:pgSz w:w="16838" w:h="11906" w:orient="landscape"/>
      <w:pgMar w:top="850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EE"/>
    <w:rsid w:val="000C2D7B"/>
    <w:rsid w:val="001851B4"/>
    <w:rsid w:val="004B1E4F"/>
    <w:rsid w:val="00557DD3"/>
    <w:rsid w:val="00581D71"/>
    <w:rsid w:val="00662CEE"/>
    <w:rsid w:val="00736DC5"/>
    <w:rsid w:val="00A71AD2"/>
    <w:rsid w:val="00E63EDB"/>
    <w:rsid w:val="00F1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1937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2021-09-10T05:06:00Z</dcterms:created>
  <dcterms:modified xsi:type="dcterms:W3CDTF">2022-03-29T05:33:00Z</dcterms:modified>
</cp:coreProperties>
</file>