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0" w:type="dxa"/>
        <w:tblInd w:w="93" w:type="dxa"/>
        <w:tblLook w:val="04A0"/>
      </w:tblPr>
      <w:tblGrid>
        <w:gridCol w:w="1067"/>
        <w:gridCol w:w="793"/>
        <w:gridCol w:w="1616"/>
        <w:gridCol w:w="1181"/>
        <w:gridCol w:w="778"/>
        <w:gridCol w:w="1481"/>
        <w:gridCol w:w="1150"/>
        <w:gridCol w:w="905"/>
        <w:gridCol w:w="1970"/>
        <w:gridCol w:w="967"/>
        <w:gridCol w:w="1036"/>
        <w:gridCol w:w="2336"/>
      </w:tblGrid>
      <w:tr w:rsidR="00E63EDB" w:rsidRPr="00E63EDB" w:rsidTr="00E63EDB">
        <w:trPr>
          <w:trHeight w:val="13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B8634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6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</w:t>
            </w:r>
            <w:r w:rsidR="00B8634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СЕЗОННОГО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B8634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ВЕ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 МНОГОКВАРТИРНОГО ДОМА, РАСПОЛОЖЕННОГО ПО АДРЕСУ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:</w:t>
            </w:r>
            <w:proofErr w:type="gramEnd"/>
            <w:r w:rsidR="001B4FF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пер. Шевченко,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bookmarkEnd w:id="0"/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1D08EC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г. Владивосток                                                                                                                   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мая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E63EDB" w:rsidRPr="00E63EDB" w:rsidTr="00E63EDB">
        <w:trPr>
          <w:trHeight w:val="4804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e-mail: ukstandart-dv@mail.ru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E63EDB" w:rsidRPr="00E63EDB" w:rsidTr="00E63EDB">
        <w:trPr>
          <w:trHeight w:val="949"/>
        </w:trPr>
        <w:tc>
          <w:tcPr>
            <w:tcW w:w="4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82002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  <w:r w:rsidR="0082002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60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172756" w:rsidP="0017275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        2022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E63EDB" w:rsidRPr="00E63EDB" w:rsidTr="00E63EDB">
        <w:trPr>
          <w:trHeight w:val="405"/>
        </w:trPr>
        <w:tc>
          <w:tcPr>
            <w:tcW w:w="691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E63EDB" w:rsidRPr="00E63EDB" w:rsidTr="00E63EDB">
        <w:trPr>
          <w:trHeight w:val="810"/>
        </w:trPr>
        <w:tc>
          <w:tcPr>
            <w:tcW w:w="691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ОПУ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1D08EC" w:rsidRPr="00E63EDB" w:rsidTr="00D55734">
        <w:trPr>
          <w:trHeight w:val="405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Выделено сре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1 453 531.05</w:t>
            </w:r>
          </w:p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7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1D08EC" w:rsidRPr="00E63EDB" w:rsidTr="0094211D">
        <w:trPr>
          <w:trHeight w:val="90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1 453 531.05</w:t>
            </w:r>
          </w:p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518"/>
        </w:trPr>
        <w:tc>
          <w:tcPr>
            <w:tcW w:w="10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E63EDB" w:rsidRPr="00E63EDB" w:rsidTr="00E63EDB">
        <w:trPr>
          <w:trHeight w:val="82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7D06D8" w:rsidP="00D8551D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  <w:r w:rsidR="00D8551D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820020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820020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</w:tr>
      <w:tr w:rsidR="00E63EDB" w:rsidRPr="00E63EDB" w:rsidTr="00E63EDB">
        <w:trPr>
          <w:trHeight w:val="368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дома, кв.м.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984FE8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1 572.3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жилых помещений, кв.м.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984FE8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1422.0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нежилых помещений, кв.м.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мест общего пользования, кв.м.,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984FE8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150.3</w:t>
            </w:r>
          </w:p>
        </w:tc>
      </w:tr>
      <w:tr w:rsidR="00E63EDB" w:rsidRPr="00E63EDB" w:rsidTr="00E63EDB">
        <w:trPr>
          <w:trHeight w:val="1800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38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E63EDB" w:rsidRPr="00E63EDB" w:rsidTr="00E63EDB">
        <w:trPr>
          <w:trHeight w:val="886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наименование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2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E63EDB" w:rsidRPr="00E63EDB" w:rsidTr="00E63EDB">
        <w:trPr>
          <w:trHeight w:val="94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площадь, кв.м.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E63EDB">
        <w:trPr>
          <w:trHeight w:val="136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984FE8" w:rsidP="00984FE8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353,14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 плоская, совмещенная; из рулонных гидроизоляционных материалов. Водосток внутренний, организованный.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FE8" w:rsidRPr="00E63EDB" w:rsidRDefault="003C703A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1 666.45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172756">
        <w:trPr>
          <w:trHeight w:val="318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172756">
        <w:trPr>
          <w:trHeight w:val="508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3C703A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1 838.5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E63EDB" w:rsidRPr="00E63EDB" w:rsidTr="00172756">
        <w:trPr>
          <w:trHeight w:val="1138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3C703A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15.2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13.50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E63EDB" w:rsidRPr="00E63EDB" w:rsidTr="00E63EDB">
        <w:trPr>
          <w:trHeight w:val="12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8.0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- металлические, оборудованы домофоном. Двери выходов на чердак, входа в подвал, в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мусорокамеру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– деревянные, обитые  металлом. </w:t>
            </w:r>
          </w:p>
        </w:tc>
      </w:tr>
      <w:tr w:rsidR="00017BC3" w:rsidRPr="00E63EDB" w:rsidTr="00017BC3">
        <w:trPr>
          <w:trHeight w:val="54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7BC3" w:rsidRPr="00E63EDB" w:rsidRDefault="00017BC3" w:rsidP="00017BC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7BC3" w:rsidRPr="00E63EDB" w:rsidRDefault="00017BC3" w:rsidP="00017BC3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80.9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7BC3" w:rsidRPr="00E63EDB" w:rsidRDefault="00017BC3" w:rsidP="00017BC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Цементно-песчаная смесь</w:t>
            </w:r>
          </w:p>
        </w:tc>
      </w:tr>
      <w:tr w:rsidR="00E63EDB" w:rsidRPr="00E63EDB" w:rsidTr="00E63EDB">
        <w:trPr>
          <w:trHeight w:val="54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125.9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железобетонных блоков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46.10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– фундаментные блоки. </w:t>
            </w:r>
          </w:p>
        </w:tc>
      </w:tr>
      <w:tr w:rsidR="00E63EDB" w:rsidRPr="00E63EDB" w:rsidTr="00E63EDB">
        <w:trPr>
          <w:trHeight w:val="649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системы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B86345">
        <w:trPr>
          <w:trHeight w:val="753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B8634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Установлены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 измерительных комплекса учёта 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(собственность МУПВ ВПЭС)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172756" w:rsidP="00D8551D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Независимая</w:t>
            </w:r>
            <w:r w:rsidR="00D8551D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от теплообменника</w:t>
            </w:r>
            <w:r w:rsidR="00E63EDB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.  Выполнена </w:t>
            </w:r>
            <w:r w:rsidR="00D8551D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трубами</w:t>
            </w:r>
            <w:r w:rsidR="00D8551D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полипропиленовыми армированными</w:t>
            </w:r>
          </w:p>
        </w:tc>
      </w:tr>
      <w:tr w:rsidR="00E63EDB" w:rsidRPr="00E63EDB" w:rsidTr="00E63EDB">
        <w:trPr>
          <w:trHeight w:val="97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холодное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D8551D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от городских сетей КГУП «Приморский водоканал», выполнена трубами</w:t>
            </w:r>
            <w:r w:rsidR="00D8551D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полипропиленовыми армированными</w:t>
            </w:r>
          </w:p>
        </w:tc>
      </w:tr>
      <w:tr w:rsidR="00E63EDB" w:rsidRPr="00E63EDB" w:rsidTr="00E63EDB">
        <w:trPr>
          <w:trHeight w:val="8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E63EDB" w:rsidRPr="00E63EDB" w:rsidTr="00D8551D">
        <w:trPr>
          <w:trHeight w:val="1101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 Установлен 1 тепловой узел в подвальном помещении.</w:t>
            </w:r>
          </w:p>
        </w:tc>
      </w:tr>
      <w:tr w:rsidR="00E63EDB" w:rsidRPr="00E63EDB" w:rsidTr="00E63EDB">
        <w:trPr>
          <w:trHeight w:val="58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вентиляция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Естественная, вытяжная </w:t>
            </w:r>
          </w:p>
        </w:tc>
      </w:tr>
      <w:tr w:rsidR="00E63EDB" w:rsidRPr="00E63EDB" w:rsidTr="00E63EDB">
        <w:trPr>
          <w:trHeight w:val="118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асбоцементными трубами, мусороприёмные ковши установлены в коридорах на каждом этаже, мусороприёмная камера устроена в подвальном помещении.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E63EDB" w:rsidRDefault="00E63EDB" w:rsidP="00E63EDB">
      <w:r w:rsidRPr="00E63EDB">
        <w:rPr>
          <w:b/>
        </w:rPr>
        <w:t>Комиссия в составе:</w:t>
      </w:r>
      <w:r w:rsidRPr="00E63EDB">
        <w:t xml:space="preserve"> </w:t>
      </w:r>
    </w:p>
    <w:p w:rsidR="00E63EDB" w:rsidRPr="00E63EDB" w:rsidRDefault="00E63EDB" w:rsidP="00E63EDB">
      <w:r w:rsidRPr="00E63EDB">
        <w:t>Председатель комиссии:</w:t>
      </w:r>
    </w:p>
    <w:p w:rsidR="00E63EDB" w:rsidRPr="00E63EDB" w:rsidRDefault="001D08EC" w:rsidP="00E63EDB">
      <w:r>
        <w:t>И.о. г</w:t>
      </w:r>
      <w:r w:rsidR="00E63EDB" w:rsidRPr="00E63EDB">
        <w:t>лавн</w:t>
      </w:r>
      <w:r>
        <w:t xml:space="preserve">ого </w:t>
      </w:r>
      <w:r w:rsidR="00E63EDB" w:rsidRPr="00E63EDB">
        <w:t xml:space="preserve"> инженер</w:t>
      </w:r>
      <w:proofErr w:type="gramStart"/>
      <w:r>
        <w:t xml:space="preserve">а </w:t>
      </w:r>
      <w:r w:rsidR="00E63EDB" w:rsidRPr="00E63EDB">
        <w:t xml:space="preserve"> ООО</w:t>
      </w:r>
      <w:proofErr w:type="gramEnd"/>
      <w:r w:rsidR="00E63EDB" w:rsidRPr="00E63EDB">
        <w:t xml:space="preserve"> "УК СТАНДАРТ" </w:t>
      </w:r>
      <w:r>
        <w:t>Бондаренко Е.В.</w:t>
      </w:r>
    </w:p>
    <w:p w:rsidR="00E63EDB" w:rsidRPr="00E63EDB" w:rsidRDefault="00E63EDB" w:rsidP="00E63EDB">
      <w:r w:rsidRPr="00E63EDB">
        <w:t xml:space="preserve">Члены комиссии:  </w:t>
      </w:r>
      <w:r w:rsidR="001D08EC">
        <w:t xml:space="preserve">Инженер ПТО </w:t>
      </w:r>
      <w:r w:rsidRPr="00E63EDB">
        <w:t xml:space="preserve"> ООО "УК СТАНДАРТ"  Климовский А.Д.</w:t>
      </w:r>
    </w:p>
    <w:p w:rsidR="00E63EDB" w:rsidRPr="00E63EDB" w:rsidRDefault="00E63EDB" w:rsidP="00E63EDB">
      <w:r w:rsidRPr="00E63EDB">
        <w:t>Представитель собственников помещений:  Председатель Совета МКД   Тюрин В.В.</w:t>
      </w:r>
    </w:p>
    <w:tbl>
      <w:tblPr>
        <w:tblW w:w="14899" w:type="dxa"/>
        <w:tblInd w:w="93" w:type="dxa"/>
        <w:tblLayout w:type="fixed"/>
        <w:tblLook w:val="04A0"/>
      </w:tblPr>
      <w:tblGrid>
        <w:gridCol w:w="997"/>
        <w:gridCol w:w="2562"/>
        <w:gridCol w:w="4598"/>
        <w:gridCol w:w="6742"/>
      </w:tblGrid>
      <w:tr w:rsidR="00E63EDB" w:rsidRPr="00E63EDB" w:rsidTr="00E63EDB">
        <w:trPr>
          <w:trHeight w:val="854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произвела 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сезонный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сенний) осмотр элементов общего имущества многоквартирного дома.                                              При осмотре установлено следующее:</w:t>
            </w:r>
          </w:p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58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  КОНСТРУКЦИЙ И ИНЖЕНЕРНОГО ОБОРУДОВАНИЯ</w:t>
            </w:r>
          </w:p>
        </w:tc>
      </w:tr>
      <w:tr w:rsidR="00E63EDB" w:rsidRPr="00E63EDB" w:rsidTr="00E63EDB">
        <w:trPr>
          <w:trHeight w:val="244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1D08EC" w:rsidRPr="00E63EDB" w:rsidTr="00E63EDB">
        <w:trPr>
          <w:trHeight w:val="143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- 70%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Трещины в швах между блоками, следы увлажнения стен подвала.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51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- 70%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Трещины в швах между блоками, следы увлажнения стен подвала,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2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Произвести визуальный осмотр не представилось </w:t>
            </w:r>
            <w:proofErr w:type="gramStart"/>
            <w:r w:rsidRPr="001D08EC">
              <w:rPr>
                <w:sz w:val="32"/>
                <w:szCs w:val="32"/>
              </w:rPr>
              <w:t>возможным</w:t>
            </w:r>
            <w:proofErr w:type="gramEnd"/>
            <w:r w:rsidRPr="001D08EC">
              <w:rPr>
                <w:sz w:val="32"/>
                <w:szCs w:val="32"/>
              </w:rPr>
              <w:t>.</w:t>
            </w:r>
          </w:p>
        </w:tc>
      </w:tr>
      <w:tr w:rsidR="001D08EC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1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11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Произвести визуальный осмотр не представилось </w:t>
            </w:r>
            <w:proofErr w:type="gramStart"/>
            <w:r w:rsidRPr="001D08EC">
              <w:rPr>
                <w:sz w:val="32"/>
                <w:szCs w:val="32"/>
              </w:rPr>
              <w:t>возможным</w:t>
            </w:r>
            <w:proofErr w:type="gramEnd"/>
            <w:r w:rsidRPr="001D08EC">
              <w:rPr>
                <w:sz w:val="32"/>
                <w:szCs w:val="32"/>
              </w:rPr>
              <w:t>.</w:t>
            </w:r>
          </w:p>
        </w:tc>
      </w:tr>
      <w:tr w:rsidR="001D08EC" w:rsidRPr="00E63EDB" w:rsidTr="00E63EDB">
        <w:trPr>
          <w:trHeight w:val="113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 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Массовые разрушения покрытия и основания</w:t>
            </w:r>
          </w:p>
        </w:tc>
      </w:tr>
      <w:tr w:rsidR="001D08EC" w:rsidRPr="00E63EDB" w:rsidTr="00E63EDB">
        <w:trPr>
          <w:trHeight w:val="112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- 45%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4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spacing w:after="360"/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Отдельные мелкие выбоины и волосные трещины, незначительные повреждения плинтусов Стирание поверхности в ходовых местах; выбоины до 0,5 м</w:t>
            </w:r>
            <w:proofErr w:type="gramStart"/>
            <w:r w:rsidRPr="001D08EC">
              <w:rPr>
                <w:sz w:val="32"/>
                <w:szCs w:val="32"/>
              </w:rPr>
              <w:t>2</w:t>
            </w:r>
            <w:proofErr w:type="gramEnd"/>
            <w:r w:rsidRPr="001D08EC">
              <w:rPr>
                <w:sz w:val="32"/>
                <w:szCs w:val="32"/>
              </w:rPr>
              <w:t xml:space="preserve"> на площади до 25 %</w:t>
            </w:r>
          </w:p>
        </w:tc>
      </w:tr>
      <w:tr w:rsidR="001D08EC" w:rsidRPr="00E63EDB" w:rsidTr="00E63EDB">
        <w:trPr>
          <w:trHeight w:val="1061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Произвести визуальный осмотр не представилось </w:t>
            </w:r>
            <w:proofErr w:type="gramStart"/>
            <w:r w:rsidRPr="001D08EC">
              <w:rPr>
                <w:sz w:val="32"/>
                <w:szCs w:val="32"/>
              </w:rPr>
              <w:t>возможным</w:t>
            </w:r>
            <w:proofErr w:type="gramEnd"/>
            <w:r w:rsidRPr="001D08EC">
              <w:rPr>
                <w:sz w:val="32"/>
                <w:szCs w:val="32"/>
              </w:rPr>
              <w:t>.</w:t>
            </w:r>
          </w:p>
        </w:tc>
      </w:tr>
      <w:tr w:rsidR="001D08EC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- 20%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 дефекты не выявлены</w:t>
            </w:r>
          </w:p>
        </w:tc>
      </w:tr>
      <w:tr w:rsidR="001D08EC" w:rsidRPr="00E63EDB" w:rsidTr="00E63EDB">
        <w:trPr>
          <w:trHeight w:val="112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- 30%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 дефекты не выявлены</w:t>
            </w:r>
          </w:p>
        </w:tc>
      </w:tr>
      <w:tr w:rsidR="001D08EC" w:rsidRPr="00E63EDB" w:rsidTr="00E63EDB">
        <w:trPr>
          <w:trHeight w:val="111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11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 дефекты не выявлены</w:t>
            </w:r>
          </w:p>
        </w:tc>
      </w:tr>
      <w:tr w:rsidR="001D08EC" w:rsidRPr="00E63EDB" w:rsidTr="00E63EDB">
        <w:trPr>
          <w:trHeight w:val="368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proofErr w:type="spellStart"/>
            <w:r w:rsidRPr="001D08EC">
              <w:rPr>
                <w:sz w:val="32"/>
                <w:szCs w:val="32"/>
              </w:rPr>
              <w:t>Шукатурка</w:t>
            </w:r>
            <w:proofErr w:type="spellEnd"/>
            <w:r w:rsidRPr="001D08EC">
              <w:rPr>
                <w:sz w:val="32"/>
                <w:szCs w:val="32"/>
              </w:rPr>
              <w:t>: глубокие трещины, мелкие пробоины, отслоение накрывочного слоя местами в углах и сопряжениях панелей Окраска водными составами: местные единичные повреждения окрасочного слоя, волосные трещины в рустах, в местах сопряжения потолков и стен. Окраска безводными составами: потемнение и загрязнение окрасочного слоя, матовые пятна и потеки</w:t>
            </w:r>
          </w:p>
        </w:tc>
      </w:tr>
      <w:tr w:rsidR="001D08EC" w:rsidRPr="00E63EDB" w:rsidTr="001D08EC">
        <w:trPr>
          <w:trHeight w:val="266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</w:t>
            </w:r>
          </w:p>
        </w:tc>
      </w:tr>
      <w:tr w:rsidR="001D08EC" w:rsidRPr="00E63EDB" w:rsidTr="00E63EDB">
        <w:trPr>
          <w:trHeight w:val="105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145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19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1D08EC" w:rsidRPr="00E63EDB" w:rsidTr="001D08EC">
        <w:trPr>
          <w:trHeight w:val="1054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- 20%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99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1D08EC">
        <w:trPr>
          <w:trHeight w:val="100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 </w:t>
            </w:r>
            <w:proofErr w:type="gramStart"/>
            <w:r w:rsidRPr="001D08EC">
              <w:rPr>
                <w:sz w:val="32"/>
                <w:szCs w:val="32"/>
              </w:rPr>
              <w:t>Нормируемое</w:t>
            </w:r>
            <w:proofErr w:type="gramEnd"/>
            <w:r w:rsidRPr="001D08EC">
              <w:rPr>
                <w:sz w:val="32"/>
                <w:szCs w:val="32"/>
              </w:rPr>
              <w:t xml:space="preserve">                     Процент износа  - 5%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11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88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10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1D08EC">
        <w:trPr>
          <w:trHeight w:val="844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296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Повреждение изоляции магистральных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(ВРУ). Предельный срок эксплуатации </w:t>
            </w:r>
            <w:proofErr w:type="gramStart"/>
            <w:r w:rsidRPr="001D08EC">
              <w:rPr>
                <w:sz w:val="32"/>
                <w:szCs w:val="32"/>
              </w:rPr>
              <w:t>ВРУ</w:t>
            </w:r>
            <w:proofErr w:type="gramEnd"/>
            <w:r w:rsidRPr="001D08EC">
              <w:rPr>
                <w:sz w:val="32"/>
                <w:szCs w:val="32"/>
              </w:rPr>
              <w:t xml:space="preserve"> истёк.</w:t>
            </w:r>
          </w:p>
        </w:tc>
      </w:tr>
      <w:tr w:rsidR="005D0206" w:rsidRPr="00E63EDB" w:rsidTr="00214EF2">
        <w:trPr>
          <w:trHeight w:val="155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206" w:rsidRPr="00E63EDB" w:rsidRDefault="005D0206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206" w:rsidRPr="00E63EDB" w:rsidRDefault="005D0206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206" w:rsidRPr="00E63EDB" w:rsidRDefault="00B86345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proofErr w:type="gramStart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>РФ от 29 июня 2020 г. № 950).</w:t>
            </w:r>
            <w:proofErr w:type="gramEnd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</w:t>
            </w:r>
          </w:p>
        </w:tc>
      </w:tr>
      <w:tr w:rsidR="00E63EDB" w:rsidRPr="00E63EDB" w:rsidTr="00557DD3">
        <w:trPr>
          <w:trHeight w:val="97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 xml:space="preserve">  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B86345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B86345">
              <w:rPr>
                <w:rFonts w:eastAsia="Times New Roman"/>
                <w:sz w:val="32"/>
                <w:szCs w:val="32"/>
                <w:lang w:eastAsia="ru-RU"/>
              </w:rPr>
              <w:t>В ВСН 53-86(р) отсутствуют данные о признаках дефектов, определяемых визуальным способом, для внутренней инженерной системы «вентиляция»</w:t>
            </w:r>
          </w:p>
        </w:tc>
      </w:tr>
      <w:tr w:rsidR="00E63EDB" w:rsidRPr="00E63EDB" w:rsidTr="00557DD3">
        <w:trPr>
          <w:trHeight w:val="113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Состояние удовлетворительное.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 xml:space="preserve">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Мелкие повреждения в стволе.</w:t>
            </w:r>
          </w:p>
        </w:tc>
      </w:tr>
      <w:tr w:rsidR="00E63EDB" w:rsidRPr="00E63EDB" w:rsidTr="00557DD3">
        <w:trPr>
          <w:trHeight w:val="69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557DD3">
        <w:trPr>
          <w:trHeight w:val="109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1D08EC" w:rsidRPr="00E63EDB" w:rsidTr="00355D7D">
        <w:trPr>
          <w:trHeight w:val="11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 ООО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"УК СТАНДАРТ" не обслуживается</w:t>
            </w:r>
          </w:p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1D08EC" w:rsidRPr="00E63EDB" w:rsidTr="00D01760">
        <w:trPr>
          <w:trHeight w:val="124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E63EDB" w:rsidRPr="00E63EDB" w:rsidTr="00E63EDB">
        <w:trPr>
          <w:trHeight w:val="1545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B8634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Решение комиссии: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На основании результатов 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сезонного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</w:t>
            </w:r>
            <w:bookmarkStart w:id="1" w:name="_GoBack"/>
            <w:bookmarkEnd w:id="1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сеннего) осмотра комиссия считает, что здание многоквартирного дома по адресу: </w:t>
            </w:r>
            <w:r w:rsidR="005D020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пер. Шевченко,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E63EDB" w:rsidRPr="00E63EDB" w:rsidTr="00557DD3">
        <w:trPr>
          <w:trHeight w:val="1223"/>
        </w:trPr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E63EDB" w:rsidRPr="00E63EDB" w:rsidTr="001D08EC">
        <w:trPr>
          <w:trHeight w:val="59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1D08EC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Фундамент, Цоколь (подвал) Дверные заполнения Оконные заполнения Лестничные клетки 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Устройство контейнерной площадки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63EDB" w:rsidRPr="00E63EDB" w:rsidTr="00557DD3">
        <w:trPr>
          <w:trHeight w:val="140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1D08EC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наружные Фасад Несущие и ограждающие конструкции Водостоки  Отмостка Полы Кровля Система отопления Элеваторные узлы системы отопления Система горячего водоснабжения Система холодного водоснабжения Система канализации Система электроснабжения и освещения </w:t>
            </w:r>
          </w:p>
        </w:tc>
      </w:tr>
      <w:tr w:rsidR="00E63EDB" w:rsidRPr="00E63EDB" w:rsidTr="00557DD3">
        <w:trPr>
          <w:trHeight w:val="176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После выполнения работ по капитальному ремонту Кровли Систем отопления Автоматизированных тепловых пунктов Общедомовых узлов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учета потребления тепловой энергии Элеваторных узлов системы отопления Системы горячего водоснабжения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Общедомовых узлов учета потребления ГВС необходимо проведение мероприятий по энергосбережению и энергоэффективности</w:t>
            </w:r>
          </w:p>
        </w:tc>
      </w:tr>
      <w:tr w:rsidR="00557DD3" w:rsidRPr="00E63EDB" w:rsidTr="00557DD3">
        <w:trPr>
          <w:trHeight w:val="4093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57DD3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</w:p>
          <w:p w:rsidR="00557DD3" w:rsidRPr="00E63EDB" w:rsidRDefault="001D08EC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И.о. г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лавн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ого 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</w:t>
            </w:r>
            <w:proofErr w:type="gramStart"/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</w:t>
            </w:r>
            <w:proofErr w:type="gramEnd"/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"УК СТАНДАРТ"</w:t>
            </w:r>
            <w:r w:rsidR="00557DD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Бондаренко Е.В.</w:t>
            </w: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557DD3" w:rsidRPr="00E63EDB" w:rsidRDefault="001D08EC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 ПТО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 "УК СТАНДАРТ"</w:t>
            </w:r>
            <w:r w:rsidR="00557DD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557DD3" w:rsidRPr="00E63EDB" w:rsidRDefault="00557DD3" w:rsidP="005D020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D020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Моторный Р.В.</w:t>
            </w:r>
          </w:p>
        </w:tc>
      </w:tr>
    </w:tbl>
    <w:p w:rsidR="00E63EDB" w:rsidRPr="00E63EDB" w:rsidRDefault="00E63EDB" w:rsidP="00557DD3">
      <w:pPr>
        <w:rPr>
          <w:sz w:val="32"/>
          <w:szCs w:val="32"/>
        </w:rPr>
      </w:pPr>
    </w:p>
    <w:sectPr w:rsidR="00E63EDB" w:rsidRPr="00E63EDB" w:rsidSect="00557DD3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62CEE"/>
    <w:rsid w:val="00017BC3"/>
    <w:rsid w:val="000C2D7B"/>
    <w:rsid w:val="00112BE8"/>
    <w:rsid w:val="00170284"/>
    <w:rsid w:val="00172756"/>
    <w:rsid w:val="001851B4"/>
    <w:rsid w:val="001B4FFA"/>
    <w:rsid w:val="001D08EC"/>
    <w:rsid w:val="00206C58"/>
    <w:rsid w:val="003C703A"/>
    <w:rsid w:val="004B1E4F"/>
    <w:rsid w:val="00557DD3"/>
    <w:rsid w:val="00581D71"/>
    <w:rsid w:val="005D0206"/>
    <w:rsid w:val="00662CEE"/>
    <w:rsid w:val="00670B16"/>
    <w:rsid w:val="00736DC5"/>
    <w:rsid w:val="007D06D8"/>
    <w:rsid w:val="00820020"/>
    <w:rsid w:val="00984FE8"/>
    <w:rsid w:val="00AB3452"/>
    <w:rsid w:val="00B86345"/>
    <w:rsid w:val="00B96D3E"/>
    <w:rsid w:val="00D8551D"/>
    <w:rsid w:val="00E6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2023-08-15T03:44:00Z</dcterms:created>
  <dcterms:modified xsi:type="dcterms:W3CDTF">2023-09-01T00:34:00Z</dcterms:modified>
</cp:coreProperties>
</file>