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9" w:type="dxa"/>
        <w:tblInd w:w="93" w:type="dxa"/>
        <w:tblLook w:val="04A0" w:firstRow="1" w:lastRow="0" w:firstColumn="1" w:lastColumn="0" w:noHBand="0" w:noVBand="1"/>
      </w:tblPr>
      <w:tblGrid>
        <w:gridCol w:w="1067"/>
        <w:gridCol w:w="967"/>
        <w:gridCol w:w="1616"/>
        <w:gridCol w:w="1073"/>
        <w:gridCol w:w="979"/>
        <w:gridCol w:w="1296"/>
        <w:gridCol w:w="1806"/>
        <w:gridCol w:w="905"/>
        <w:gridCol w:w="1974"/>
        <w:gridCol w:w="968"/>
        <w:gridCol w:w="1035"/>
        <w:gridCol w:w="1283"/>
      </w:tblGrid>
      <w:tr w:rsidR="00235DBE" w:rsidRPr="00235DBE" w:rsidTr="008F167D">
        <w:trPr>
          <w:trHeight w:val="1155"/>
        </w:trPr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BE" w:rsidRPr="00235DBE" w:rsidRDefault="00235DBE" w:rsidP="0090673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0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АКТ                                                                                                                                                                                           ОБЩЕГО (</w:t>
            </w:r>
            <w:r w:rsidR="00906732">
              <w:rPr>
                <w:rFonts w:eastAsia="Times New Roman"/>
                <w:b/>
                <w:bCs/>
                <w:color w:val="000000"/>
                <w:lang w:eastAsia="ru-RU"/>
              </w:rPr>
              <w:t>ВЕ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СЕННЕГО) ОСМОТРА ОБЩЕГО ИМУЩЕСТВА МНОГОКВАРТИРНОГО ДОМА, РАСПОЛОЖЕННОГО ПО АДРЕСУ: ул. Шевченко, 9</w:t>
            </w:r>
            <w:bookmarkEnd w:id="0"/>
          </w:p>
        </w:tc>
      </w:tr>
      <w:tr w:rsidR="00235DBE" w:rsidRPr="00235DBE" w:rsidTr="008F167D">
        <w:trPr>
          <w:trHeight w:val="765"/>
        </w:trPr>
        <w:tc>
          <w:tcPr>
            <w:tcW w:w="1496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6D648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           </w:t>
            </w:r>
            <w:r w:rsidR="006D648C">
              <w:rPr>
                <w:rFonts w:eastAsia="Times New Roman"/>
                <w:color w:val="000000"/>
                <w:lang w:eastAsia="ru-RU"/>
              </w:rPr>
              <w:t>11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D648C">
              <w:rPr>
                <w:rFonts w:eastAsia="Times New Roman"/>
                <w:color w:val="000000"/>
                <w:lang w:eastAsia="ru-RU"/>
              </w:rPr>
              <w:t>мая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6D648C">
              <w:rPr>
                <w:rFonts w:eastAsia="Times New Roman"/>
                <w:color w:val="000000"/>
                <w:lang w:eastAsia="ru-RU"/>
              </w:rPr>
              <w:t>2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235DBE" w:rsidRPr="00235DBE" w:rsidTr="008F167D">
        <w:trPr>
          <w:trHeight w:val="4149"/>
        </w:trPr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3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235DBE" w:rsidRPr="00235DBE" w:rsidTr="008F167D">
        <w:trPr>
          <w:trHeight w:val="503"/>
        </w:trPr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3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235DBE" w:rsidRPr="00235DBE" w:rsidTr="008F167D">
        <w:trPr>
          <w:trHeight w:val="702"/>
        </w:trPr>
        <w:tc>
          <w:tcPr>
            <w:tcW w:w="4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1955</w:t>
            </w:r>
          </w:p>
        </w:tc>
        <w:tc>
          <w:tcPr>
            <w:tcW w:w="6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2018</w:t>
            </w:r>
          </w:p>
        </w:tc>
      </w:tr>
      <w:tr w:rsidR="00235DBE" w:rsidRPr="00235DBE" w:rsidTr="008F167D">
        <w:trPr>
          <w:trHeight w:val="495"/>
        </w:trPr>
        <w:tc>
          <w:tcPr>
            <w:tcW w:w="1496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235DBE" w:rsidRPr="00235DBE" w:rsidTr="008F167D">
        <w:trPr>
          <w:trHeight w:val="405"/>
        </w:trPr>
        <w:tc>
          <w:tcPr>
            <w:tcW w:w="699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235DBE" w:rsidRPr="00235DBE" w:rsidTr="008F167D">
        <w:trPr>
          <w:trHeight w:val="810"/>
        </w:trPr>
        <w:tc>
          <w:tcPr>
            <w:tcW w:w="699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235DBE" w:rsidRPr="00235DBE" w:rsidTr="008F167D">
        <w:trPr>
          <w:trHeight w:val="405"/>
        </w:trPr>
        <w:tc>
          <w:tcPr>
            <w:tcW w:w="6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874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089.36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 9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874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089.36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852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20"/>
        </w:trPr>
        <w:tc>
          <w:tcPr>
            <w:tcW w:w="116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20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235DBE" w:rsidRPr="00235DBE" w:rsidTr="008F167D">
        <w:trPr>
          <w:trHeight w:val="82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312FF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  <w:r w:rsidR="00A5584C">
              <w:rPr>
                <w:rFonts w:eastAsia="Times New Roman"/>
                <w:color w:val="000000"/>
                <w:lang w:eastAsia="ru-RU"/>
              </w:rPr>
              <w:t>6</w:t>
            </w:r>
            <w:r w:rsidR="00312FF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 + 1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27</w:t>
            </w:r>
          </w:p>
        </w:tc>
      </w:tr>
      <w:tr w:rsidR="00235DBE" w:rsidRPr="00235DBE" w:rsidTr="008F167D">
        <w:trPr>
          <w:trHeight w:val="368"/>
        </w:trPr>
        <w:tc>
          <w:tcPr>
            <w:tcW w:w="20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общая площадь дома, </w:t>
            </w:r>
            <w:proofErr w:type="spellStart"/>
            <w:r w:rsidRPr="00235DBE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EA0E56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3525.1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общая площадь жилых помещений, </w:t>
            </w:r>
            <w:proofErr w:type="spellStart"/>
            <w:r w:rsidRPr="00235DBE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EA0E56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2593.8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общая площадь нежилых помещений, </w:t>
            </w:r>
            <w:proofErr w:type="spellStart"/>
            <w:r w:rsidRPr="00235DBE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235.5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  <w:proofErr w:type="spellStart"/>
            <w:r w:rsidRPr="00235DBE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695.8</w:t>
            </w:r>
          </w:p>
        </w:tc>
      </w:tr>
      <w:tr w:rsidR="00235DBE" w:rsidRPr="00235DBE" w:rsidTr="008F167D">
        <w:trPr>
          <w:trHeight w:val="1290"/>
        </w:trPr>
        <w:tc>
          <w:tcPr>
            <w:tcW w:w="20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8F167D">
        <w:trPr>
          <w:trHeight w:val="260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235DBE" w:rsidRPr="00235DBE" w:rsidTr="008F167D">
        <w:trPr>
          <w:trHeight w:val="702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5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2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8. Описание основных конструктивных элементов</w:t>
            </w:r>
          </w:p>
        </w:tc>
      </w:tr>
      <w:tr w:rsidR="00235DBE" w:rsidRPr="00235DBE" w:rsidTr="008F167D">
        <w:trPr>
          <w:trHeight w:val="69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площадь, </w:t>
            </w:r>
            <w:proofErr w:type="spell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235DBE" w:rsidRPr="00235DBE" w:rsidTr="008F167D">
        <w:trPr>
          <w:trHeight w:val="2546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предусмотрены  слуховые окна Несущие конструкции крыши покрыты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 известковым раствором. Водосток наружный организованный, выполнен трубами из оцинкованной жести. </w:t>
            </w:r>
          </w:p>
        </w:tc>
      </w:tr>
      <w:tr w:rsidR="00235DBE" w:rsidRPr="00235DBE" w:rsidTr="008F167D">
        <w:trPr>
          <w:trHeight w:val="953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6D648C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Стены облегченной кладки из шлакоблоков на сложном или цементном растворе. Фасад оштукатурен, окрашен водоэмульсионными составами.  Со стороны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тыльного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фасадов устроены балконы.</w:t>
            </w:r>
            <w:r w:rsidR="006D648C">
              <w:t xml:space="preserve"> </w:t>
            </w:r>
            <w:r w:rsidR="006D648C" w:rsidRPr="006D648C">
              <w:rPr>
                <w:rFonts w:eastAsia="Times New Roman"/>
                <w:color w:val="000000"/>
                <w:lang w:eastAsia="ru-RU"/>
              </w:rPr>
              <w:t>Со стороны тыльного фасада устроены эркеры на 1-ом и 2-ом этажах.</w:t>
            </w:r>
          </w:p>
        </w:tc>
      </w:tr>
      <w:tr w:rsidR="00235DBE" w:rsidRPr="00235DBE" w:rsidTr="008F167D">
        <w:trPr>
          <w:trHeight w:val="683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стены внутренние и перегородки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Шлакобетонные,  частично -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з сухой штукатурки по деревянному каркасу </w:t>
            </w:r>
          </w:p>
        </w:tc>
      </w:tr>
      <w:tr w:rsidR="00235DBE" w:rsidRPr="00235DBE" w:rsidTr="008F167D">
        <w:trPr>
          <w:trHeight w:val="28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Железобетонные плиты.</w:t>
            </w:r>
          </w:p>
        </w:tc>
      </w:tr>
      <w:tr w:rsidR="00235DBE" w:rsidRPr="00235DBE" w:rsidTr="008F167D">
        <w:trPr>
          <w:trHeight w:val="939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Лестничные марши выполнены из сборных каменных ступеней по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стальным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E140ED" w:rsidRPr="00235DBE" w:rsidTr="008F167D">
        <w:trPr>
          <w:trHeight w:val="24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0ED" w:rsidRPr="00235DBE" w:rsidRDefault="00E140ED" w:rsidP="00235DB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отмостка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0ED" w:rsidRPr="00235DBE" w:rsidRDefault="00E140E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140.1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0ED" w:rsidRPr="00235DBE" w:rsidRDefault="00A5584C" w:rsidP="00235DB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бетон</w:t>
            </w:r>
          </w:p>
        </w:tc>
      </w:tr>
      <w:tr w:rsidR="00235DBE" w:rsidRPr="00235DBE" w:rsidTr="008F167D">
        <w:trPr>
          <w:trHeight w:val="24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235DBE" w:rsidRPr="00235DBE" w:rsidTr="008F167D">
        <w:trPr>
          <w:trHeight w:val="33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– бутовая кладка.</w:t>
            </w:r>
          </w:p>
        </w:tc>
      </w:tr>
      <w:tr w:rsidR="00235DBE" w:rsidRPr="00235DBE" w:rsidTr="008F167D">
        <w:trPr>
          <w:trHeight w:val="384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235DBE" w:rsidRPr="00235DBE" w:rsidTr="008F167D">
        <w:trPr>
          <w:trHeight w:val="41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235DBE" w:rsidRPr="00235DBE" w:rsidTr="008F167D">
        <w:trPr>
          <w:trHeight w:val="3537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расположен в подвальном помещении. Разводка системы электроснабжения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от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ВРУ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уровне подвального помещения выполнена открытым способом и проложена по конструкциям внутренних стен. На каждом этаже здания во всех подъездах установлены распределительные щиты. К распределительным щитам кабели проложены в каналах, устроенных в кладке. Групповая сеть выполнена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 (в собственности МУПВ "ВПЭС") в составе: прибор учёта ПСЧ-3ТА.07.112.2  № 34741406 , измерительные трансформаторы тока Т-0.66 М УЗ №№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, </w:t>
            </w:r>
          </w:p>
        </w:tc>
      </w:tr>
      <w:tr w:rsidR="00235DBE" w:rsidRPr="00235DBE" w:rsidTr="008F167D">
        <w:trPr>
          <w:trHeight w:val="153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Зависимая. От магистральных сетей МУПВ "ВПЭС".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стальными  водогазопроводными трубами. Два ввода (подача и обратный трубопровод) Ø 80 мм. Трубопровод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технического подвала. Внутренняя разводка сетей горячего водоснабжения от магистральной трубы до потребителей выполнена из стальных труб Ø 25 мм.</w:t>
            </w:r>
          </w:p>
        </w:tc>
      </w:tr>
      <w:tr w:rsidR="00235DBE" w:rsidRPr="00235DBE" w:rsidTr="008F167D">
        <w:trPr>
          <w:trHeight w:val="162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от транзитной магистрали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технического подвала. Внутренняя разводка сетей холодного водоснабжения от магистральной трубы до потребителей выполнена их стальных труб Ø 25 мм</w:t>
            </w:r>
          </w:p>
        </w:tc>
      </w:tr>
      <w:tr w:rsidR="00235DBE" w:rsidRPr="00235DBE" w:rsidTr="008F167D">
        <w:trPr>
          <w:trHeight w:val="68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235DBE" w:rsidRPr="00235DBE" w:rsidTr="008F167D">
        <w:trPr>
          <w:trHeight w:val="65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от городских сетей ОАО «ДГК», выполнена стальными водогазопроводными трубами. Верхняя разводка. </w:t>
            </w:r>
          </w:p>
        </w:tc>
      </w:tr>
      <w:tr w:rsidR="00235DBE" w:rsidRPr="00235DBE" w:rsidTr="008F167D">
        <w:trPr>
          <w:trHeight w:val="478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235DBE" w:rsidRPr="00235DBE" w:rsidTr="008F167D">
        <w:trPr>
          <w:trHeight w:val="443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водоснабжения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235DBE" w:rsidRPr="00235DBE" w:rsidTr="008F167D">
        <w:trPr>
          <w:trHeight w:val="42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235DBE" w:rsidRPr="00235DBE" w:rsidRDefault="00235DBE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0"/>
        <w:gridCol w:w="3214"/>
        <w:gridCol w:w="5314"/>
        <w:gridCol w:w="5529"/>
      </w:tblGrid>
      <w:tr w:rsidR="00235DBE" w:rsidRPr="00235DBE" w:rsidTr="00FD39E9">
        <w:trPr>
          <w:trHeight w:val="2925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1" w:name="RANGE!A1:F71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bookmarkEnd w:id="1"/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Председатель комиссии: Главный инженер ООО "УК СТАНДАРТ"   Цылёв А.А.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Члены комиссии: Заместитель генерального директор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"УК СТАНДАРТ"   Климовский А.Д.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Представитель собственников помещений:  Смирнова О.В.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произвела общий </w:t>
            </w:r>
            <w:r w:rsidR="004009AD">
              <w:rPr>
                <w:rFonts w:eastAsia="Times New Roman"/>
                <w:color w:val="000000"/>
                <w:lang w:eastAsia="ru-RU"/>
              </w:rPr>
              <w:t xml:space="preserve">сезонный </w:t>
            </w:r>
            <w:r w:rsidRPr="00235DBE">
              <w:rPr>
                <w:rFonts w:eastAsia="Times New Roman"/>
                <w:color w:val="000000"/>
                <w:lang w:eastAsia="ru-RU"/>
              </w:rPr>
              <w:t>(</w:t>
            </w:r>
            <w:r w:rsidR="004009AD">
              <w:rPr>
                <w:rFonts w:eastAsia="Times New Roman"/>
                <w:color w:val="000000"/>
                <w:lang w:eastAsia="ru-RU"/>
              </w:rPr>
              <w:t>ве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сенний) осмотр элементов общего имущества многоквартирного дома. </w:t>
            </w:r>
            <w:r w:rsidR="00FD39E9">
              <w:rPr>
                <w:rFonts w:eastAsia="Times New Roman"/>
                <w:color w:val="000000"/>
                <w:lang w:eastAsia="ru-RU"/>
              </w:rPr>
              <w:t xml:space="preserve">                         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                            При осмотре установлено следующее: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РЕЗУЛЬТАТЫ ОСМОТРА                                                                                                                                                                                                   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технического состояния строительных конструкций и инженерного оборудования</w:t>
            </w:r>
          </w:p>
        </w:tc>
      </w:tr>
      <w:tr w:rsidR="00235DBE" w:rsidRPr="00235DBE" w:rsidTr="00FD39E9">
        <w:trPr>
          <w:trHeight w:val="152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FD39E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Оценка технического состояния конструктивных элементов и инженерного оборудования, в том числе процент износа по   ВСН 53-86 (р)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235DBE" w:rsidRPr="00235DBE" w:rsidTr="00235DBE">
        <w:trPr>
          <w:trHeight w:val="8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312FF2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AB17E9"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Следы увлажнения цоколя и стен, выпучивание отдельных участков стен подвала, неравномерная осадка фундамента.</w:t>
            </w:r>
          </w:p>
        </w:tc>
      </w:tr>
      <w:tr w:rsidR="00235DBE" w:rsidRPr="00235DBE" w:rsidTr="00FD39E9">
        <w:trPr>
          <w:trHeight w:val="8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Отслоение и отпадение штукатурки, карнизов и перемычек; выветривание швов; ослабление кирпичной кладки. </w:t>
            </w:r>
          </w:p>
        </w:tc>
      </w:tr>
      <w:tr w:rsidR="00235DBE" w:rsidRPr="00235DBE" w:rsidTr="00235DBE">
        <w:trPr>
          <w:trHeight w:val="12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235DBE" w:rsidRPr="00235DBE" w:rsidTr="00FD39E9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Процент износа - 70%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235DBE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35DBE">
              <w:rPr>
                <w:rFonts w:eastAsia="Times New Roman"/>
                <w:lang w:eastAsia="ru-RU"/>
              </w:rPr>
              <w:t>.</w:t>
            </w:r>
          </w:p>
        </w:tc>
      </w:tr>
      <w:tr w:rsidR="00235DBE" w:rsidRPr="00235DBE" w:rsidTr="002968B7">
        <w:trPr>
          <w:trHeight w:val="128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235DBE" w:rsidRPr="00235DB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235DBE" w:rsidRPr="00235DBE" w:rsidTr="00235DBE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235DBE" w:rsidRPr="00235DBE" w:rsidTr="002968B7">
        <w:trPr>
          <w:trHeight w:val="6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312FF2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- 25 %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235DBE" w:rsidRPr="00235DBE" w:rsidTr="00235DBE">
        <w:trPr>
          <w:trHeight w:val="9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r w:rsidR="00235DBE" w:rsidRPr="00235DBE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Провести визуальный осмотр элементов «перекрытия» не представилось возможным.</w:t>
            </w:r>
          </w:p>
        </w:tc>
      </w:tr>
      <w:tr w:rsidR="00235DBE" w:rsidRPr="00235DBE" w:rsidTr="002968B7">
        <w:trPr>
          <w:trHeight w:val="7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-80%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35DBE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на площади до 25 %</w:t>
            </w:r>
          </w:p>
        </w:tc>
      </w:tr>
      <w:tr w:rsidR="00235DBE" w:rsidRPr="00235DBE" w:rsidTr="002968B7">
        <w:trPr>
          <w:trHeight w:val="7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312FF2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                Процент износа -15%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235DBE" w:rsidRPr="00235DBE" w:rsidTr="00235DBE">
        <w:trPr>
          <w:trHeight w:val="13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- 80 %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35DBE">
              <w:rPr>
                <w:rFonts w:eastAsia="Times New Roman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lang w:eastAsia="ru-RU"/>
              </w:rPr>
              <w:t xml:space="preserve"> на площади до 25 %  Отсутствие отдельных плиток, местами вздутия и отставание на площади от 20 до 50 %</w:t>
            </w:r>
          </w:p>
        </w:tc>
      </w:tr>
      <w:tr w:rsidR="00235DBE" w:rsidRPr="00235DBE" w:rsidTr="00235DBE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- 70 %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235DBE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35DBE">
              <w:rPr>
                <w:rFonts w:eastAsia="Times New Roman"/>
                <w:lang w:eastAsia="ru-RU"/>
              </w:rPr>
              <w:t>.</w:t>
            </w:r>
          </w:p>
        </w:tc>
      </w:tr>
      <w:tr w:rsidR="00235DBE" w:rsidRPr="00235DBE" w:rsidTr="002968B7">
        <w:trPr>
          <w:trHeight w:val="8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F0673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- 20 %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ходе визуального осмотра дефект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 не выявлен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235DBE" w:rsidRPr="00235DBE" w:rsidTr="002968B7">
        <w:trPr>
          <w:trHeight w:val="7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DF0673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F0673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- </w:t>
            </w:r>
            <w:r>
              <w:rPr>
                <w:rFonts w:eastAsia="Times New Roman"/>
                <w:lang w:eastAsia="ru-RU"/>
              </w:rPr>
              <w:t>30</w:t>
            </w:r>
            <w:r w:rsidR="00235DBE" w:rsidRPr="00235DBE">
              <w:rPr>
                <w:rFonts w:eastAsia="Times New Roman"/>
                <w:lang w:eastAsia="ru-RU"/>
              </w:rPr>
              <w:t xml:space="preserve">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ходе визуального осмотра дефект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 не выявлен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235DBE" w:rsidRPr="00235DBE" w:rsidTr="002968B7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ходе визуального осмотра дефект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 не выявлен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235DBE" w:rsidRPr="00235DBE" w:rsidTr="002968B7">
        <w:trPr>
          <w:trHeight w:val="6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65 %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968B7" w:rsidP="002968B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ходе</w:t>
            </w:r>
            <w:r w:rsidR="00235DBE" w:rsidRPr="00235DBE">
              <w:rPr>
                <w:rFonts w:eastAsia="Times New Roman"/>
                <w:lang w:eastAsia="ru-RU"/>
              </w:rPr>
              <w:t xml:space="preserve"> визуально</w:t>
            </w:r>
            <w:r>
              <w:rPr>
                <w:rFonts w:eastAsia="Times New Roman"/>
                <w:lang w:eastAsia="ru-RU"/>
              </w:rPr>
              <w:t>го</w:t>
            </w:r>
            <w:r w:rsidR="00235DBE" w:rsidRPr="00235DBE">
              <w:rPr>
                <w:rFonts w:eastAsia="Times New Roman"/>
                <w:lang w:eastAsia="ru-RU"/>
              </w:rPr>
              <w:t xml:space="preserve"> осмотр</w:t>
            </w:r>
            <w:r>
              <w:rPr>
                <w:rFonts w:eastAsia="Times New Roman"/>
                <w:lang w:eastAsia="ru-RU"/>
              </w:rPr>
              <w:t>а</w:t>
            </w:r>
            <w:r w:rsidR="00235DBE" w:rsidRPr="00235DBE">
              <w:rPr>
                <w:rFonts w:eastAsia="Times New Roman"/>
                <w:lang w:eastAsia="ru-RU"/>
              </w:rPr>
              <w:t xml:space="preserve"> дефекты не выявлены</w:t>
            </w:r>
          </w:p>
        </w:tc>
      </w:tr>
      <w:tr w:rsidR="00235DBE" w:rsidRPr="00235DBE" w:rsidTr="00235DBE">
        <w:trPr>
          <w:trHeight w:val="49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DF0673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F0673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5</w:t>
            </w:r>
            <w:r>
              <w:rPr>
                <w:rFonts w:eastAsia="Times New Roman"/>
                <w:lang w:eastAsia="ru-RU"/>
              </w:rPr>
              <w:t>0</w:t>
            </w:r>
            <w:r w:rsidR="00235DBE" w:rsidRPr="00235DBE">
              <w:rPr>
                <w:rFonts w:eastAsia="Times New Roman"/>
                <w:lang w:eastAsia="ru-RU"/>
              </w:rPr>
              <w:t xml:space="preserve">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3-ий подъезд</w:t>
            </w:r>
            <w:r w:rsidR="00235DBE" w:rsidRPr="00235DBE">
              <w:rPr>
                <w:rFonts w:eastAsia="Times New Roman"/>
                <w:lang w:eastAsia="ru-RU"/>
              </w:rPr>
              <w:t>: Штукатурка: Глубокие трещины, мелкие пробоины, отслоение накрывочного слоя местами.</w:t>
            </w:r>
            <w:r w:rsidR="002968B7">
              <w:rPr>
                <w:rFonts w:eastAsia="Times New Roman"/>
                <w:lang w:eastAsia="ru-RU"/>
              </w:rPr>
              <w:t xml:space="preserve"> </w:t>
            </w:r>
            <w:r w:rsidR="00235DBE" w:rsidRPr="00235DBE">
              <w:rPr>
                <w:rFonts w:eastAsia="Times New Roman"/>
                <w:lang w:eastAsia="ru-RU"/>
              </w:rPr>
              <w:t>Выпучивание и отпадение штукатурки и листов местами, более 10 м</w:t>
            </w:r>
            <w:r w:rsidR="00235DBE" w:rsidRPr="00DF0673">
              <w:rPr>
                <w:rFonts w:eastAsia="Times New Roman"/>
                <w:vertAlign w:val="superscript"/>
                <w:lang w:eastAsia="ru-RU"/>
              </w:rPr>
              <w:t>2</w:t>
            </w:r>
            <w:r w:rsidR="00235DBE" w:rsidRPr="00235DBE">
              <w:rPr>
                <w:rFonts w:eastAsia="Times New Roman"/>
                <w:lang w:eastAsia="ru-RU"/>
              </w:rPr>
              <w:t xml:space="preserve"> на площади до 5 %. Окраска </w:t>
            </w:r>
            <w:r>
              <w:rPr>
                <w:rFonts w:eastAsia="Times New Roman"/>
                <w:lang w:eastAsia="ru-RU"/>
              </w:rPr>
              <w:t xml:space="preserve">           </w:t>
            </w:r>
            <w:r w:rsidR="00235DBE" w:rsidRPr="00235DBE">
              <w:rPr>
                <w:rFonts w:eastAsia="Times New Roman"/>
                <w:lang w:eastAsia="ru-RU"/>
              </w:rPr>
              <w:t>в помещениях водными составами</w:t>
            </w:r>
            <w:proofErr w:type="gramStart"/>
            <w:r w:rsidR="00235DBE" w:rsidRPr="00235DBE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="00235DBE" w:rsidRPr="00235DBE">
              <w:rPr>
                <w:rFonts w:eastAsia="Times New Roman"/>
                <w:lang w:eastAsia="ru-RU"/>
              </w:rPr>
              <w:t xml:space="preserve"> Окрасочный слой местами потемнел и загрязнился, в отдельных местах поврежден.  Окраска безводными составами (масляными, алкидными красками, эмалями, лаками и др.) стен, потолков: Потемнение и загрязнение окрасочного слоя, матовые пятна и потеки, Сырые пятна, отслоение вздутие и местами отставание краски со шпаклевкой до 10 % поверхности. В</w:t>
            </w:r>
            <w:r>
              <w:rPr>
                <w:rFonts w:eastAsia="Times New Roman"/>
                <w:lang w:eastAsia="ru-RU"/>
              </w:rPr>
              <w:t xml:space="preserve"> 1-ом и в</w:t>
            </w:r>
            <w:r w:rsidR="00235DBE" w:rsidRPr="00235DBE">
              <w:rPr>
                <w:rFonts w:eastAsia="Times New Roman"/>
                <w:lang w:eastAsia="ru-RU"/>
              </w:rPr>
              <w:t>о 2-ом подъезде дефекты не выявлены</w:t>
            </w:r>
          </w:p>
        </w:tc>
      </w:tr>
      <w:tr w:rsidR="00235DBE" w:rsidRPr="00235DBE" w:rsidTr="002968B7">
        <w:trPr>
          <w:trHeight w:val="41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80%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235DBE">
              <w:rPr>
                <w:rFonts w:eastAsia="Times New Roman"/>
                <w:lang w:eastAsia="ru-RU"/>
              </w:rPr>
              <w:t>Капельные течи в стояках и магистралях в местах соединений, следы протечек в отопительных приборах, следы их восстановления, неудовлетворительная работа отопительных приборов, большое количество хомутов на стояках и в магистралях, следы их ремонта отдельными местами выборочной заменой; значительное нарушение теплоизоляции стояков и магистралей, коррозия трубопроводов магистралей и стояков, отсутствие Предельный срок эксплуатации магистральных стальных, черных и радиаторов системы отопления истёк</w:t>
            </w:r>
            <w:proofErr w:type="gramEnd"/>
          </w:p>
        </w:tc>
      </w:tr>
      <w:tr w:rsidR="00235DBE" w:rsidRPr="00235DBE" w:rsidTr="002968B7">
        <w:trPr>
          <w:trHeight w:val="7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35DBE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235DBE" w:rsidRPr="00235DBE" w:rsidTr="00235DBE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</w:t>
            </w:r>
            <w:r w:rsidRPr="00235DBE">
              <w:rPr>
                <w:rFonts w:eastAsia="Times New Roman"/>
                <w:lang w:eastAsia="ru-RU"/>
              </w:rPr>
              <w:lastRenderedPageBreak/>
              <w:t xml:space="preserve">стояков; Неисправность запорной арматуры; следы ремонта трубопроводов и магистралей (хомуты, заплаты, замена отдельных участков); значительная коррозия трубопроводов. Предельный срок эксплуатации магистральных стальных, черных и оцинкованных труб системы водоснабжения истёк. </w:t>
            </w:r>
          </w:p>
        </w:tc>
      </w:tr>
      <w:tr w:rsidR="00235DBE" w:rsidRPr="00235DBE" w:rsidTr="002968B7">
        <w:trPr>
          <w:trHeight w:val="6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Отсутствуют.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35DBE">
        <w:trPr>
          <w:trHeight w:val="30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 Расстройство арматуры 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235DBE" w:rsidRPr="00235DBE" w:rsidTr="002968B7">
        <w:trPr>
          <w:trHeight w:val="6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r w:rsidRPr="00DF0673">
              <w:rPr>
                <w:rFonts w:eastAsia="Times New Roman"/>
                <w:lang w:eastAsia="ru-RU"/>
              </w:rPr>
              <w:t>В ВСН 53-86(р), отсутствуют данные о признаках дефектов конструктивного элемента «Общедомовые узлы учета потребления ХВС», определяемых визуальным способом,</w:t>
            </w:r>
          </w:p>
        </w:tc>
      </w:tr>
      <w:tr w:rsidR="00235DBE" w:rsidRPr="00235DBE" w:rsidTr="002968B7">
        <w:trPr>
          <w:trHeight w:val="4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5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35DBE">
        <w:trPr>
          <w:trHeight w:val="8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235DBE" w:rsidRPr="00235DBE" w:rsidTr="00235DBE">
        <w:trPr>
          <w:trHeight w:val="3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Электропроводка выполнена двухжильной, что не соответствует современным требованиям, согласно которым электропроводка должна быть трёхжильная. Повреждение изоляции магистральных  сетей в отдельных местах, потеря эластичности изоляции проводов, открытые проводки покрыты значительным слоем краски, отсутствие части приборов   и крышек к ним, следы ремонта вводно-распределительных устройств (ВРУ). </w:t>
            </w:r>
          </w:p>
        </w:tc>
      </w:tr>
      <w:tr w:rsidR="00A55887" w:rsidRPr="00235DBE" w:rsidTr="00AB17E9">
        <w:trPr>
          <w:trHeight w:val="9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887" w:rsidRPr="00235DBE" w:rsidRDefault="00A5588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887" w:rsidRPr="00235DBE" w:rsidRDefault="00A5588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887" w:rsidRPr="00235DBE" w:rsidRDefault="00A55887" w:rsidP="00235DBE">
            <w:pPr>
              <w:rPr>
                <w:rFonts w:eastAsia="Times New Roman"/>
                <w:lang w:eastAsia="ru-RU"/>
              </w:rPr>
            </w:pPr>
            <w:r w:rsidRPr="009469A9">
              <w:rPr>
                <w:rFonts w:eastAsia="Times New Roman"/>
                <w:lang w:eastAsia="ru-RU"/>
              </w:rPr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  <w:p w:rsidR="00A55887" w:rsidRPr="00235DBE" w:rsidRDefault="00A55887" w:rsidP="009469A9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35DBE" w:rsidRPr="00235DBE" w:rsidTr="00235DBE">
        <w:trPr>
          <w:trHeight w:val="9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70%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В  ВСН 53-86(р), отсутствуют данные о признаках дефектов, определяемых визуальным способом, </w:t>
            </w:r>
          </w:p>
        </w:tc>
      </w:tr>
      <w:tr w:rsidR="00235DBE" w:rsidRPr="00235DBE" w:rsidTr="002968B7">
        <w:trPr>
          <w:trHeight w:val="2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67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5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6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235DBE">
              <w:rPr>
                <w:rFonts w:eastAsia="Times New Roman"/>
                <w:lang w:eastAsia="ru-RU"/>
              </w:rPr>
              <w:t>а ООО</w:t>
            </w:r>
            <w:proofErr w:type="gramEnd"/>
            <w:r w:rsidRPr="00235DBE">
              <w:rPr>
                <w:rFonts w:eastAsia="Times New Roman"/>
                <w:lang w:eastAsia="ru-RU"/>
              </w:rPr>
              <w:t xml:space="preserve"> "УК СТАНДАРТ" не обслуживаются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3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529"/>
        </w:trPr>
        <w:tc>
          <w:tcPr>
            <w:tcW w:w="1475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9469A9" w:rsidRDefault="009469A9" w:rsidP="002968B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235DBE" w:rsidRDefault="00235DBE" w:rsidP="00DF067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На основании результатов общего (</w:t>
            </w:r>
            <w:r w:rsidR="00DF0673">
              <w:rPr>
                <w:rFonts w:eastAsia="Times New Roman"/>
                <w:color w:val="000000"/>
                <w:lang w:eastAsia="ru-RU"/>
              </w:rPr>
              <w:t>ве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сеннего) осмотра комиссия считает, что здание многоквартирного дома по адресу:   г. Владивосток, ул. </w:t>
            </w:r>
            <w:r w:rsidR="002968B7">
              <w:rPr>
                <w:rFonts w:eastAsia="Times New Roman"/>
                <w:color w:val="000000"/>
                <w:lang w:eastAsia="ru-RU"/>
              </w:rPr>
              <w:t>Шевченко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="002968B7">
              <w:rPr>
                <w:rFonts w:eastAsia="Times New Roman"/>
                <w:color w:val="000000"/>
                <w:lang w:eastAsia="ru-RU"/>
              </w:rPr>
              <w:t>9</w:t>
            </w:r>
            <w:r w:rsidRPr="00235DBE">
              <w:rPr>
                <w:rFonts w:eastAsia="Times New Roman"/>
                <w:color w:val="000000"/>
                <w:lang w:eastAsia="ru-RU"/>
              </w:rPr>
              <w:t>, находится в ограниченно-работоспособном состоянии. Необходимо проведение следующих работ:</w:t>
            </w:r>
            <w:bookmarkStart w:id="2" w:name="_GoBack"/>
            <w:bookmarkEnd w:id="2"/>
          </w:p>
          <w:p w:rsidR="002968B7" w:rsidRPr="00235DBE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2968B7">
        <w:trPr>
          <w:trHeight w:val="5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235DBE" w:rsidRPr="00235DBE" w:rsidTr="002968B7">
        <w:trPr>
          <w:trHeight w:val="2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Цоколь, Стены внутренние, Полы. Лестничные клетки.                                       </w:t>
            </w:r>
          </w:p>
        </w:tc>
      </w:tr>
      <w:tr w:rsidR="00235DBE" w:rsidRPr="00235DBE" w:rsidTr="00235DBE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DF0673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DF0673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Общие коридоры и тамбуры</w:t>
            </w:r>
            <w:r w:rsidR="00DF0673">
              <w:rPr>
                <w:rFonts w:eastAsia="Times New Roman"/>
                <w:lang w:eastAsia="ru-RU"/>
              </w:rPr>
              <w:t>(3-ий подъезд)</w:t>
            </w:r>
            <w:r w:rsidRPr="00235DBE">
              <w:rPr>
                <w:rFonts w:eastAsia="Times New Roman"/>
                <w:lang w:eastAsia="ru-RU"/>
              </w:rPr>
              <w:t xml:space="preserve">  Стены наружные Фасад Несущие и ограждающие конструкции Система отопления Элеваторные узлы системы отопления  Система холодного водоснабжения  Система канализации  Система электроснабжения и освещения</w:t>
            </w:r>
          </w:p>
        </w:tc>
      </w:tr>
      <w:tr w:rsidR="00235DBE" w:rsidRPr="00235DBE" w:rsidTr="002968B7">
        <w:trPr>
          <w:trHeight w:val="10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необходимо проведение мероприятий по энергосбережению и энергоэффективности.</w:t>
            </w:r>
          </w:p>
        </w:tc>
      </w:tr>
      <w:tr w:rsidR="002968B7" w:rsidRPr="00235DBE" w:rsidTr="00AB17E9">
        <w:trPr>
          <w:trHeight w:val="3066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968B7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</w:p>
          <w:p w:rsidR="002968B7" w:rsidRPr="00235DBE" w:rsidRDefault="002968B7" w:rsidP="009469A9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235DBE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 w:rsidR="009469A9"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235DBE">
              <w:rPr>
                <w:rFonts w:eastAsia="Times New Roman"/>
                <w:color w:val="000000"/>
                <w:lang w:eastAsia="ru-RU"/>
              </w:rPr>
              <w:t>Цылёв А.А.</w:t>
            </w:r>
          </w:p>
          <w:p w:rsidR="002968B7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Члены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  <w:p w:rsidR="002968B7" w:rsidRPr="00235DBE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а  ООО У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235DBE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2968B7" w:rsidRPr="00235DBE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представитель  собственников помещений: Председатель совета МКД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Смирнова О.В.                                           </w:t>
            </w:r>
          </w:p>
        </w:tc>
      </w:tr>
    </w:tbl>
    <w:p w:rsidR="00235DBE" w:rsidRPr="00235DBE" w:rsidRDefault="00235DBE"/>
    <w:sectPr w:rsidR="00235DBE" w:rsidRPr="00235DBE" w:rsidSect="00235DBE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34"/>
    <w:rsid w:val="000C2D7B"/>
    <w:rsid w:val="00143134"/>
    <w:rsid w:val="001851B4"/>
    <w:rsid w:val="00235DBE"/>
    <w:rsid w:val="002968B7"/>
    <w:rsid w:val="00312FF2"/>
    <w:rsid w:val="004009AD"/>
    <w:rsid w:val="00581D71"/>
    <w:rsid w:val="006D648C"/>
    <w:rsid w:val="00736DC5"/>
    <w:rsid w:val="007E7041"/>
    <w:rsid w:val="008F167D"/>
    <w:rsid w:val="00906732"/>
    <w:rsid w:val="009469A9"/>
    <w:rsid w:val="00A5584C"/>
    <w:rsid w:val="00A55887"/>
    <w:rsid w:val="00AB17E9"/>
    <w:rsid w:val="00B41D4C"/>
    <w:rsid w:val="00DF0673"/>
    <w:rsid w:val="00E140ED"/>
    <w:rsid w:val="00EA0E56"/>
    <w:rsid w:val="00F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2022-06-06T05:36:00Z</dcterms:created>
  <dcterms:modified xsi:type="dcterms:W3CDTF">2022-06-07T06:07:00Z</dcterms:modified>
</cp:coreProperties>
</file>