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B14846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B14846" w:rsidRPr="00B14846">
        <w:rPr>
          <w:rFonts w:ascii="Times New Roman" w:hAnsi="Times New Roman"/>
          <w:color w:val="000000"/>
          <w:sz w:val="24"/>
          <w:szCs w:val="24"/>
        </w:rPr>
        <w:t>3</w:t>
      </w:r>
      <w:r w:rsidR="00B14846">
        <w:rPr>
          <w:rFonts w:ascii="Times New Roman" w:hAnsi="Times New Roman"/>
          <w:color w:val="000000"/>
          <w:sz w:val="24"/>
          <w:szCs w:val="24"/>
        </w:rPr>
        <w:t>0</w:t>
      </w:r>
      <w:r w:rsidR="008A696A" w:rsidRPr="00B14846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B14846">
        <w:rPr>
          <w:rFonts w:ascii="Times New Roman" w:hAnsi="Times New Roman"/>
          <w:sz w:val="24"/>
          <w:szCs w:val="24"/>
        </w:rPr>
        <w:t xml:space="preserve"> </w:t>
      </w:r>
      <w:r w:rsidR="00A8788D" w:rsidRPr="00B14846">
        <w:rPr>
          <w:rFonts w:ascii="Times New Roman" w:hAnsi="Times New Roman"/>
          <w:sz w:val="24"/>
          <w:szCs w:val="24"/>
        </w:rPr>
        <w:t>марта</w:t>
      </w:r>
      <w:r w:rsidR="008A0F8B" w:rsidRPr="00B14846">
        <w:rPr>
          <w:rFonts w:ascii="Times New Roman" w:hAnsi="Times New Roman"/>
          <w:sz w:val="24"/>
          <w:szCs w:val="24"/>
        </w:rPr>
        <w:t xml:space="preserve"> </w:t>
      </w:r>
      <w:r w:rsidR="00B621AF" w:rsidRPr="00B14846">
        <w:rPr>
          <w:rFonts w:ascii="Times New Roman" w:hAnsi="Times New Roman"/>
          <w:sz w:val="24"/>
          <w:szCs w:val="24"/>
        </w:rPr>
        <w:t>20</w:t>
      </w:r>
      <w:r w:rsidR="00112243" w:rsidRPr="00B14846">
        <w:rPr>
          <w:rFonts w:ascii="Times New Roman" w:hAnsi="Times New Roman"/>
          <w:sz w:val="24"/>
          <w:szCs w:val="24"/>
        </w:rPr>
        <w:t>2</w:t>
      </w:r>
      <w:r w:rsidR="003F61D1" w:rsidRPr="00B14846">
        <w:rPr>
          <w:rFonts w:ascii="Times New Roman" w:hAnsi="Times New Roman"/>
          <w:sz w:val="24"/>
          <w:szCs w:val="24"/>
        </w:rPr>
        <w:t>6</w:t>
      </w:r>
      <w:r w:rsidR="00B621AF" w:rsidRPr="00B14846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F465DB">
        <w:rPr>
          <w:rFonts w:ascii="Times New Roman" w:hAnsi="Times New Roman"/>
          <w:sz w:val="24"/>
          <w:szCs w:val="24"/>
        </w:rPr>
        <w:t>Постановления Админис</w:t>
      </w:r>
      <w:r w:rsidR="00F465DB" w:rsidRPr="00F465DB">
        <w:rPr>
          <w:rFonts w:ascii="Times New Roman" w:hAnsi="Times New Roman"/>
          <w:sz w:val="24"/>
          <w:szCs w:val="24"/>
        </w:rPr>
        <w:t xml:space="preserve">трации города Великие Луки  </w:t>
      </w:r>
      <w:r w:rsidR="004E5DFD" w:rsidRPr="004E5DFD">
        <w:rPr>
          <w:rFonts w:ascii="Times New Roman" w:hAnsi="Times New Roman"/>
          <w:sz w:val="24"/>
          <w:szCs w:val="24"/>
        </w:rPr>
        <w:t>от 20</w:t>
      </w:r>
      <w:r w:rsidR="0039249D" w:rsidRPr="004E5DFD">
        <w:rPr>
          <w:rFonts w:ascii="Times New Roman" w:hAnsi="Times New Roman"/>
          <w:sz w:val="24"/>
          <w:szCs w:val="24"/>
        </w:rPr>
        <w:t>.</w:t>
      </w:r>
      <w:r w:rsidR="004E5DFD" w:rsidRPr="004E5DFD">
        <w:rPr>
          <w:rFonts w:ascii="Times New Roman" w:hAnsi="Times New Roman"/>
          <w:sz w:val="24"/>
          <w:szCs w:val="24"/>
        </w:rPr>
        <w:t>03</w:t>
      </w:r>
      <w:r w:rsidR="0039249D" w:rsidRPr="004E5DFD">
        <w:rPr>
          <w:rFonts w:ascii="Times New Roman" w:hAnsi="Times New Roman"/>
          <w:sz w:val="24"/>
          <w:szCs w:val="24"/>
        </w:rPr>
        <w:t>.202</w:t>
      </w:r>
      <w:r w:rsidR="004E5DFD" w:rsidRPr="004E5DFD">
        <w:rPr>
          <w:rFonts w:ascii="Times New Roman" w:hAnsi="Times New Roman"/>
          <w:sz w:val="24"/>
          <w:szCs w:val="24"/>
        </w:rPr>
        <w:t>6</w:t>
      </w:r>
      <w:r w:rsidR="0039249D" w:rsidRPr="004E5DFD">
        <w:rPr>
          <w:rFonts w:ascii="Times New Roman" w:hAnsi="Times New Roman"/>
          <w:sz w:val="24"/>
          <w:szCs w:val="24"/>
        </w:rPr>
        <w:t xml:space="preserve"> г. № </w:t>
      </w:r>
      <w:r w:rsidR="004E5DFD">
        <w:rPr>
          <w:rFonts w:ascii="Times New Roman" w:hAnsi="Times New Roman"/>
          <w:sz w:val="24"/>
          <w:szCs w:val="24"/>
        </w:rPr>
        <w:t>477</w:t>
      </w:r>
      <w:r w:rsidR="0039249D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A72BC4" w:rsidRPr="00E13A1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861F3A">
        <w:rPr>
          <w:rFonts w:ascii="Times New Roman" w:hAnsi="Times New Roman"/>
          <w:color w:val="000000"/>
          <w:sz w:val="24"/>
          <w:szCs w:val="24"/>
        </w:rPr>
        <w:t>и.о. д</w:t>
      </w:r>
      <w:r w:rsidR="00F32590">
        <w:rPr>
          <w:rFonts w:ascii="Times New Roman" w:hAnsi="Times New Roman"/>
          <w:color w:val="000000"/>
          <w:sz w:val="24"/>
          <w:szCs w:val="24"/>
        </w:rPr>
        <w:t>иректор</w:t>
      </w:r>
      <w:r w:rsidR="00861F3A">
        <w:rPr>
          <w:rFonts w:ascii="Times New Roman" w:hAnsi="Times New Roman"/>
          <w:color w:val="000000"/>
          <w:sz w:val="24"/>
          <w:szCs w:val="24"/>
        </w:rPr>
        <w:t>а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F3A">
        <w:rPr>
          <w:rFonts w:ascii="Times New Roman" w:hAnsi="Times New Roman"/>
          <w:color w:val="000000"/>
          <w:sz w:val="24"/>
          <w:szCs w:val="24"/>
        </w:rPr>
        <w:t>Кутузова Татьяна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</w:t>
      </w:r>
      <w:r w:rsidR="00263DDA">
        <w:rPr>
          <w:rFonts w:ascii="Times New Roman" w:hAnsi="Times New Roman"/>
          <w:sz w:val="24"/>
          <w:szCs w:val="24"/>
        </w:rPr>
        <w:t>я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 w:rsidR="00A8788D">
        <w:rPr>
          <w:rFonts w:ascii="Times New Roman" w:hAnsi="Times New Roman"/>
          <w:sz w:val="24"/>
          <w:szCs w:val="24"/>
        </w:rPr>
        <w:t>второй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861F3A">
        <w:rPr>
          <w:rFonts w:ascii="Times New Roman" w:hAnsi="Times New Roman"/>
          <w:sz w:val="24"/>
          <w:szCs w:val="24"/>
        </w:rPr>
        <w:t xml:space="preserve">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окраска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Pr="00DD78AA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8AA">
        <w:rPr>
          <w:rFonts w:ascii="Times New Roman" w:hAnsi="Times New Roman"/>
          <w:sz w:val="24"/>
          <w:szCs w:val="24"/>
        </w:rPr>
        <w:t>7. Площадь нежилых помещений М</w:t>
      </w:r>
      <w:r w:rsidR="005800F4" w:rsidRPr="00DD78AA">
        <w:rPr>
          <w:rFonts w:ascii="Times New Roman" w:hAnsi="Times New Roman"/>
          <w:sz w:val="24"/>
          <w:szCs w:val="24"/>
        </w:rPr>
        <w:t>А</w:t>
      </w:r>
      <w:r w:rsidRPr="00DD78AA">
        <w:rPr>
          <w:rFonts w:ascii="Times New Roman" w:hAnsi="Times New Roman"/>
          <w:sz w:val="24"/>
          <w:szCs w:val="24"/>
        </w:rPr>
        <w:t>У «</w:t>
      </w:r>
      <w:r w:rsidR="005800F4" w:rsidRPr="00DD78AA">
        <w:rPr>
          <w:rFonts w:ascii="Times New Roman" w:hAnsi="Times New Roman"/>
          <w:sz w:val="24"/>
          <w:szCs w:val="24"/>
        </w:rPr>
        <w:t>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 w:rsidRPr="00DD78AA">
        <w:rPr>
          <w:rFonts w:ascii="Times New Roman" w:hAnsi="Times New Roman"/>
          <w:sz w:val="24"/>
          <w:szCs w:val="24"/>
        </w:rPr>
        <w:t>,</w:t>
      </w:r>
      <w:r w:rsidR="00044E11" w:rsidRPr="00DD78AA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DD78AA">
        <w:rPr>
          <w:rFonts w:ascii="Times New Roman" w:hAnsi="Times New Roman"/>
          <w:sz w:val="24"/>
          <w:szCs w:val="24"/>
        </w:rPr>
        <w:t>а также физическим лицам, применяющим специальный налоговый режим «Налог на профессиональный доход»</w:t>
      </w:r>
      <w:r w:rsidR="001E053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 xml:space="preserve">– </w:t>
      </w:r>
      <w:r w:rsidR="002A02BE" w:rsidRPr="00DD78AA">
        <w:rPr>
          <w:rFonts w:ascii="Times New Roman" w:hAnsi="Times New Roman"/>
          <w:sz w:val="24"/>
          <w:szCs w:val="24"/>
        </w:rPr>
        <w:t>7</w:t>
      </w:r>
      <w:r w:rsidR="00C444A8" w:rsidRPr="00DD78AA">
        <w:rPr>
          <w:rFonts w:ascii="Times New Roman" w:hAnsi="Times New Roman"/>
          <w:sz w:val="24"/>
          <w:szCs w:val="24"/>
        </w:rPr>
        <w:t>4</w:t>
      </w:r>
      <w:r w:rsidR="00576C4C" w:rsidRPr="00DD78AA">
        <w:rPr>
          <w:rFonts w:ascii="Times New Roman" w:hAnsi="Times New Roman"/>
          <w:sz w:val="24"/>
          <w:szCs w:val="24"/>
        </w:rPr>
        <w:t>1</w:t>
      </w:r>
      <w:r w:rsidR="00422AD9" w:rsidRPr="00DD78AA">
        <w:rPr>
          <w:rFonts w:ascii="Times New Roman" w:hAnsi="Times New Roman"/>
          <w:sz w:val="24"/>
          <w:szCs w:val="24"/>
        </w:rPr>
        <w:t>,</w:t>
      </w:r>
      <w:r w:rsidR="00C444A8" w:rsidRPr="00DD78AA">
        <w:rPr>
          <w:rFonts w:ascii="Times New Roman" w:hAnsi="Times New Roman"/>
          <w:sz w:val="24"/>
          <w:szCs w:val="24"/>
        </w:rPr>
        <w:t>3</w:t>
      </w:r>
      <w:r w:rsidRPr="00DD78AA">
        <w:rPr>
          <w:rFonts w:ascii="Times New Roman" w:hAnsi="Times New Roman"/>
          <w:sz w:val="24"/>
          <w:szCs w:val="24"/>
        </w:rPr>
        <w:t xml:space="preserve"> кв.м.</w:t>
      </w:r>
      <w:r w:rsidR="009414F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DD78AA">
        <w:t xml:space="preserve"> </w:t>
      </w:r>
      <w:r w:rsidR="00307887" w:rsidRPr="00DD78AA">
        <w:rPr>
          <w:rFonts w:ascii="Times New Roman" w:hAnsi="Times New Roman"/>
          <w:sz w:val="24"/>
          <w:szCs w:val="24"/>
        </w:rPr>
        <w:lastRenderedPageBreak/>
        <w:t>или физическому лицу, применяющему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DD78AA">
        <w:rPr>
          <w:rFonts w:ascii="Times New Roman" w:hAnsi="Times New Roman"/>
          <w:sz w:val="24"/>
          <w:szCs w:val="24"/>
        </w:rPr>
        <w:t>МАУ «Бизнес-инкубатор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предназначенной для размещения субъектов малого предпринимательства</w:t>
      </w:r>
      <w:r w:rsidR="004F200C" w:rsidRPr="00DD78AA">
        <w:rPr>
          <w:rFonts w:ascii="Times New Roman" w:hAnsi="Times New Roman"/>
          <w:sz w:val="24"/>
          <w:szCs w:val="24"/>
        </w:rPr>
        <w:t>,</w:t>
      </w:r>
      <w:r w:rsidR="004F200C" w:rsidRPr="00DD78AA">
        <w:t xml:space="preserve"> </w:t>
      </w:r>
      <w:r w:rsidR="004F200C" w:rsidRPr="00DD78AA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 </w:t>
      </w:r>
      <w:r w:rsidR="00422AD9" w:rsidRPr="00DD78AA">
        <w:rPr>
          <w:rFonts w:ascii="Times New Roman" w:hAnsi="Times New Roman"/>
          <w:sz w:val="24"/>
          <w:szCs w:val="24"/>
        </w:rPr>
        <w:t xml:space="preserve">(не более </w:t>
      </w:r>
      <w:r w:rsidR="00645ABB" w:rsidRPr="00DD78AA">
        <w:rPr>
          <w:rFonts w:ascii="Times New Roman" w:hAnsi="Times New Roman"/>
          <w:sz w:val="24"/>
          <w:szCs w:val="24"/>
        </w:rPr>
        <w:t>11</w:t>
      </w:r>
      <w:r w:rsidR="00DD78AA" w:rsidRPr="00DD78AA">
        <w:rPr>
          <w:rFonts w:ascii="Times New Roman" w:hAnsi="Times New Roman"/>
          <w:sz w:val="24"/>
          <w:szCs w:val="24"/>
        </w:rPr>
        <w:t>1</w:t>
      </w:r>
      <w:r w:rsidR="00645ABB" w:rsidRPr="00DD78AA">
        <w:rPr>
          <w:rFonts w:ascii="Times New Roman" w:hAnsi="Times New Roman"/>
          <w:sz w:val="24"/>
          <w:szCs w:val="24"/>
        </w:rPr>
        <w:t>,2</w:t>
      </w:r>
      <w:r w:rsidRPr="00DD78AA"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AF4EE0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249D" w:rsidRDefault="00AF4EE0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5B00B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9249D" w:rsidRPr="00CE7523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2086,67</w:t>
            </w:r>
          </w:p>
        </w:tc>
        <w:tc>
          <w:tcPr>
            <w:tcW w:w="1276" w:type="dxa"/>
            <w:vAlign w:val="center"/>
          </w:tcPr>
          <w:p w:rsidR="0039249D" w:rsidRPr="00CE7523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3130,00</w:t>
            </w:r>
          </w:p>
        </w:tc>
        <w:tc>
          <w:tcPr>
            <w:tcW w:w="1276" w:type="dxa"/>
            <w:vAlign w:val="center"/>
          </w:tcPr>
          <w:p w:rsidR="0039249D" w:rsidRPr="00CE7523" w:rsidRDefault="009611F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5216,67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  <w:tr w:rsidR="00AF4EE0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AF4EE0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AF4EE0" w:rsidRDefault="00AF4EE0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AF4EE0" w:rsidRDefault="00AF4EE0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AF4EE0" w:rsidRDefault="00AF4EE0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EE0" w:rsidRDefault="005B00B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F4EE0" w:rsidRPr="003F61D1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1786,67</w:t>
            </w:r>
          </w:p>
        </w:tc>
        <w:tc>
          <w:tcPr>
            <w:tcW w:w="1276" w:type="dxa"/>
            <w:vAlign w:val="center"/>
          </w:tcPr>
          <w:p w:rsidR="00AF4EE0" w:rsidRPr="003F61D1" w:rsidRDefault="009611F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2680,00</w:t>
            </w:r>
          </w:p>
        </w:tc>
        <w:tc>
          <w:tcPr>
            <w:tcW w:w="1276" w:type="dxa"/>
            <w:vAlign w:val="center"/>
          </w:tcPr>
          <w:p w:rsidR="00AF4EE0" w:rsidRPr="003F61D1" w:rsidRDefault="009611F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11FE">
              <w:rPr>
                <w:rFonts w:ascii="Times New Roman" w:eastAsia="Calibri" w:hAnsi="Times New Roman"/>
                <w:sz w:val="24"/>
                <w:szCs w:val="24"/>
              </w:rPr>
              <w:t>4466,67</w:t>
            </w:r>
          </w:p>
        </w:tc>
        <w:tc>
          <w:tcPr>
            <w:tcW w:w="1417" w:type="dxa"/>
            <w:vAlign w:val="center"/>
          </w:tcPr>
          <w:p w:rsidR="00AF4EE0" w:rsidRPr="0029124D" w:rsidRDefault="00AF4EE0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00037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sz w:val="24"/>
          <w:szCs w:val="24"/>
        </w:rPr>
        <w:t>1</w:t>
      </w:r>
      <w:r w:rsidR="00EF20D5" w:rsidRPr="00C00037">
        <w:rPr>
          <w:rFonts w:ascii="Times New Roman" w:hAnsi="Times New Roman"/>
          <w:sz w:val="24"/>
          <w:szCs w:val="24"/>
        </w:rPr>
        <w:t>2</w:t>
      </w:r>
      <w:r w:rsidRPr="00C00037">
        <w:rPr>
          <w:rFonts w:ascii="Times New Roman" w:hAnsi="Times New Roman"/>
          <w:sz w:val="24"/>
          <w:szCs w:val="24"/>
        </w:rPr>
        <w:t>.</w:t>
      </w:r>
      <w:r w:rsidR="00575A2C" w:rsidRPr="00C00037">
        <w:rPr>
          <w:rFonts w:ascii="Times New Roman" w:hAnsi="Times New Roman"/>
          <w:sz w:val="24"/>
          <w:szCs w:val="24"/>
        </w:rPr>
        <w:t xml:space="preserve"> </w:t>
      </w:r>
      <w:r w:rsidR="00CD604A" w:rsidRPr="00C00037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00037">
        <w:rPr>
          <w:rFonts w:ascii="Times New Roman" w:hAnsi="Times New Roman"/>
          <w:sz w:val="24"/>
          <w:szCs w:val="24"/>
        </w:rPr>
        <w:t>: электронная площадка в информационно-телекоммуникационной сети «Интернет»: Сбербанк-АСТ (sberbank-ast.ru).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с 00 часов 00 минут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 xml:space="preserve">(время московское) </w:t>
      </w:r>
      <w:r w:rsidRPr="007455BB">
        <w:rPr>
          <w:rFonts w:ascii="Times New Roman" w:hAnsi="Times New Roman"/>
          <w:b/>
          <w:sz w:val="24"/>
          <w:szCs w:val="24"/>
        </w:rPr>
        <w:t>«</w:t>
      </w:r>
      <w:r w:rsidR="00B14846" w:rsidRPr="007455BB">
        <w:rPr>
          <w:rFonts w:ascii="Times New Roman" w:hAnsi="Times New Roman"/>
          <w:b/>
          <w:sz w:val="24"/>
          <w:szCs w:val="24"/>
        </w:rPr>
        <w:t>31</w:t>
      </w:r>
      <w:r w:rsidRPr="007455BB">
        <w:rPr>
          <w:rFonts w:ascii="Times New Roman" w:hAnsi="Times New Roman"/>
          <w:b/>
          <w:sz w:val="24"/>
          <w:szCs w:val="24"/>
        </w:rPr>
        <w:t xml:space="preserve">» </w:t>
      </w:r>
      <w:r w:rsidR="00B14846" w:rsidRPr="007455BB">
        <w:rPr>
          <w:rFonts w:ascii="Times New Roman" w:hAnsi="Times New Roman"/>
          <w:b/>
          <w:sz w:val="24"/>
          <w:szCs w:val="24"/>
        </w:rPr>
        <w:t>марта</w:t>
      </w:r>
      <w:r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sz w:val="24"/>
          <w:szCs w:val="24"/>
        </w:rPr>
        <w:t xml:space="preserve"> </w:t>
      </w:r>
      <w:r w:rsidRPr="007455BB">
        <w:rPr>
          <w:rFonts w:ascii="Times New Roman" w:hAnsi="Times New Roman"/>
          <w:b/>
          <w:sz w:val="24"/>
          <w:szCs w:val="24"/>
        </w:rPr>
        <w:t>года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455BB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7455BB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7455BB">
        <w:rPr>
          <w:rFonts w:ascii="Times New Roman" w:hAnsi="Times New Roman"/>
          <w:b/>
          <w:sz w:val="24"/>
          <w:szCs w:val="24"/>
        </w:rPr>
        <w:t>23</w:t>
      </w:r>
      <w:r w:rsidRPr="007455BB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7455BB">
        <w:rPr>
          <w:rFonts w:ascii="Times New Roman" w:hAnsi="Times New Roman"/>
          <w:b/>
          <w:sz w:val="24"/>
          <w:szCs w:val="24"/>
        </w:rPr>
        <w:t>59</w:t>
      </w:r>
      <w:r w:rsidRPr="007455BB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B14846" w:rsidRPr="007455BB">
        <w:rPr>
          <w:rFonts w:ascii="Times New Roman" w:hAnsi="Times New Roman"/>
          <w:b/>
          <w:sz w:val="24"/>
          <w:szCs w:val="24"/>
        </w:rPr>
        <w:t>29</w:t>
      </w:r>
      <w:r w:rsidRPr="007455BB">
        <w:rPr>
          <w:rFonts w:ascii="Times New Roman" w:hAnsi="Times New Roman"/>
          <w:b/>
          <w:sz w:val="24"/>
          <w:szCs w:val="24"/>
        </w:rPr>
        <w:t xml:space="preserve">» </w:t>
      </w:r>
      <w:r w:rsidR="009611FE" w:rsidRPr="007455BB">
        <w:rPr>
          <w:rFonts w:ascii="Times New Roman" w:hAnsi="Times New Roman"/>
          <w:b/>
          <w:sz w:val="24"/>
          <w:szCs w:val="24"/>
        </w:rPr>
        <w:t>апреля</w:t>
      </w:r>
      <w:r w:rsidR="00455DCF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CD604A" w:rsidRPr="007455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55BB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7455BB">
        <w:rPr>
          <w:rFonts w:ascii="Times New Roman" w:hAnsi="Times New Roman"/>
          <w:b/>
          <w:sz w:val="24"/>
          <w:szCs w:val="24"/>
        </w:rPr>
        <w:t>«</w:t>
      </w:r>
      <w:r w:rsidR="00B14846" w:rsidRPr="007455BB">
        <w:rPr>
          <w:rFonts w:ascii="Times New Roman" w:hAnsi="Times New Roman"/>
          <w:b/>
          <w:sz w:val="24"/>
          <w:szCs w:val="24"/>
        </w:rPr>
        <w:t>30</w:t>
      </w:r>
      <w:r w:rsidR="008A0F8B" w:rsidRPr="007455BB">
        <w:rPr>
          <w:rFonts w:ascii="Times New Roman" w:hAnsi="Times New Roman"/>
          <w:b/>
          <w:sz w:val="24"/>
          <w:szCs w:val="24"/>
        </w:rPr>
        <w:t>»</w:t>
      </w:r>
      <w:r w:rsidRPr="007455BB">
        <w:rPr>
          <w:rFonts w:ascii="Times New Roman" w:hAnsi="Times New Roman"/>
          <w:b/>
          <w:sz w:val="24"/>
          <w:szCs w:val="24"/>
        </w:rPr>
        <w:t xml:space="preserve"> </w:t>
      </w:r>
      <w:r w:rsidR="009611FE" w:rsidRPr="007455BB">
        <w:rPr>
          <w:rFonts w:ascii="Times New Roman" w:hAnsi="Times New Roman"/>
          <w:b/>
          <w:sz w:val="24"/>
          <w:szCs w:val="24"/>
        </w:rPr>
        <w:t>апреля</w:t>
      </w:r>
      <w:r w:rsidR="00455DCF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Pr="007455BB">
        <w:rPr>
          <w:rFonts w:ascii="Times New Roman" w:hAnsi="Times New Roman"/>
          <w:sz w:val="24"/>
          <w:szCs w:val="24"/>
        </w:rPr>
        <w:t xml:space="preserve"> 1</w:t>
      </w:r>
      <w:r w:rsidR="007455BB" w:rsidRPr="007455BB">
        <w:rPr>
          <w:rFonts w:ascii="Times New Roman" w:hAnsi="Times New Roman"/>
          <w:sz w:val="24"/>
          <w:szCs w:val="24"/>
        </w:rPr>
        <w:t>4</w:t>
      </w:r>
      <w:r w:rsidRPr="007455BB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455BB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7455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7455BB">
        <w:rPr>
          <w:rFonts w:ascii="Times New Roman" w:hAnsi="Times New Roman"/>
          <w:b/>
          <w:sz w:val="24"/>
          <w:szCs w:val="24"/>
        </w:rPr>
        <w:t>«</w:t>
      </w:r>
      <w:r w:rsidR="00B14846" w:rsidRPr="007455BB">
        <w:rPr>
          <w:rFonts w:ascii="Times New Roman" w:hAnsi="Times New Roman"/>
          <w:b/>
          <w:sz w:val="24"/>
          <w:szCs w:val="24"/>
        </w:rPr>
        <w:t>30</w:t>
      </w:r>
      <w:r w:rsidR="008A0F8B" w:rsidRPr="007455BB">
        <w:rPr>
          <w:rFonts w:ascii="Times New Roman" w:hAnsi="Times New Roman"/>
          <w:b/>
          <w:sz w:val="24"/>
          <w:szCs w:val="24"/>
        </w:rPr>
        <w:t>»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</w:t>
      </w:r>
      <w:r w:rsidR="009611FE" w:rsidRPr="007455BB">
        <w:rPr>
          <w:rFonts w:ascii="Times New Roman" w:hAnsi="Times New Roman"/>
          <w:b/>
          <w:sz w:val="24"/>
          <w:szCs w:val="24"/>
        </w:rPr>
        <w:t>апреля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202</w:t>
      </w:r>
      <w:r w:rsidR="003F61D1" w:rsidRPr="007455BB">
        <w:rPr>
          <w:rFonts w:ascii="Times New Roman" w:hAnsi="Times New Roman"/>
          <w:b/>
          <w:sz w:val="24"/>
          <w:szCs w:val="24"/>
        </w:rPr>
        <w:t>6</w:t>
      </w:r>
      <w:r w:rsidR="00265BC7" w:rsidRPr="007455BB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7455BB">
        <w:rPr>
          <w:rFonts w:ascii="Times New Roman" w:hAnsi="Times New Roman"/>
          <w:sz w:val="24"/>
          <w:szCs w:val="24"/>
        </w:rPr>
        <w:t>, 1</w:t>
      </w:r>
      <w:r w:rsidR="007455BB" w:rsidRPr="007455BB">
        <w:rPr>
          <w:rFonts w:ascii="Times New Roman" w:hAnsi="Times New Roman"/>
          <w:sz w:val="24"/>
          <w:szCs w:val="24"/>
        </w:rPr>
        <w:t>5</w:t>
      </w:r>
      <w:r w:rsidR="00AE56AD" w:rsidRPr="007455BB">
        <w:rPr>
          <w:rFonts w:ascii="Times New Roman" w:hAnsi="Times New Roman"/>
          <w:sz w:val="24"/>
          <w:szCs w:val="24"/>
        </w:rPr>
        <w:t xml:space="preserve"> </w:t>
      </w:r>
      <w:r w:rsidR="00265BC7" w:rsidRPr="007455BB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7455BB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</w:t>
      </w:r>
      <w:r w:rsidRPr="007E1531">
        <w:rPr>
          <w:rFonts w:ascii="Times New Roman" w:hAnsi="Times New Roman"/>
          <w:sz w:val="24"/>
          <w:szCs w:val="24"/>
        </w:rPr>
        <w:t xml:space="preserve">– до </w:t>
      </w:r>
      <w:r w:rsidR="009F5235" w:rsidRPr="007E1531">
        <w:rPr>
          <w:rFonts w:ascii="Times New Roman" w:hAnsi="Times New Roman"/>
          <w:sz w:val="24"/>
          <w:szCs w:val="24"/>
        </w:rPr>
        <w:t>23</w:t>
      </w:r>
      <w:r w:rsidRPr="007E1531">
        <w:rPr>
          <w:rFonts w:ascii="Times New Roman" w:hAnsi="Times New Roman"/>
          <w:sz w:val="24"/>
          <w:szCs w:val="24"/>
        </w:rPr>
        <w:t xml:space="preserve"> часов </w:t>
      </w:r>
      <w:r w:rsidR="009F5235" w:rsidRPr="007E1531">
        <w:rPr>
          <w:rFonts w:ascii="Times New Roman" w:hAnsi="Times New Roman"/>
          <w:sz w:val="24"/>
          <w:szCs w:val="24"/>
        </w:rPr>
        <w:t>59</w:t>
      </w:r>
      <w:r w:rsidRPr="007E1531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B14846" w:rsidRPr="007455BB">
        <w:rPr>
          <w:rFonts w:ascii="Times New Roman" w:hAnsi="Times New Roman"/>
          <w:sz w:val="24"/>
          <w:szCs w:val="24"/>
        </w:rPr>
        <w:t>29</w:t>
      </w:r>
      <w:r w:rsidR="00AC407D" w:rsidRPr="007455BB">
        <w:rPr>
          <w:rFonts w:ascii="Times New Roman" w:hAnsi="Times New Roman"/>
          <w:sz w:val="24"/>
          <w:szCs w:val="24"/>
        </w:rPr>
        <w:t>.</w:t>
      </w:r>
      <w:r w:rsidR="003F61D1" w:rsidRPr="007455BB">
        <w:rPr>
          <w:rFonts w:ascii="Times New Roman" w:hAnsi="Times New Roman"/>
          <w:sz w:val="24"/>
          <w:szCs w:val="24"/>
        </w:rPr>
        <w:t>0</w:t>
      </w:r>
      <w:r w:rsidR="009611FE" w:rsidRPr="007455BB">
        <w:rPr>
          <w:rFonts w:ascii="Times New Roman" w:hAnsi="Times New Roman"/>
          <w:sz w:val="24"/>
          <w:szCs w:val="24"/>
        </w:rPr>
        <w:t>4</w:t>
      </w:r>
      <w:r w:rsidRPr="007455BB">
        <w:rPr>
          <w:rFonts w:ascii="Times New Roman" w:hAnsi="Times New Roman"/>
          <w:sz w:val="24"/>
          <w:szCs w:val="24"/>
        </w:rPr>
        <w:t>.202</w:t>
      </w:r>
      <w:r w:rsidR="003F61D1" w:rsidRPr="007455BB">
        <w:rPr>
          <w:rFonts w:ascii="Times New Roman" w:hAnsi="Times New Roman"/>
          <w:sz w:val="24"/>
          <w:szCs w:val="24"/>
        </w:rPr>
        <w:t>6</w:t>
      </w:r>
      <w:r w:rsidRPr="00026CCE">
        <w:rPr>
          <w:rFonts w:ascii="Times New Roman" w:hAnsi="Times New Roman"/>
          <w:sz w:val="24"/>
          <w:szCs w:val="24"/>
        </w:rPr>
        <w:t>.</w:t>
      </w:r>
      <w:r w:rsidRPr="007E1531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>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9B42CB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 Кутузова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26CCE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04A8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C6229"/>
    <w:rsid w:val="001D5BC4"/>
    <w:rsid w:val="001D6247"/>
    <w:rsid w:val="001E053A"/>
    <w:rsid w:val="001E7B10"/>
    <w:rsid w:val="001F0CC2"/>
    <w:rsid w:val="00201E41"/>
    <w:rsid w:val="00211DD3"/>
    <w:rsid w:val="002637AE"/>
    <w:rsid w:val="00263DDA"/>
    <w:rsid w:val="00265BC7"/>
    <w:rsid w:val="00266F16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08D9"/>
    <w:rsid w:val="003C30A4"/>
    <w:rsid w:val="003C7365"/>
    <w:rsid w:val="003D4126"/>
    <w:rsid w:val="003D5FD3"/>
    <w:rsid w:val="003E0835"/>
    <w:rsid w:val="003E0DF3"/>
    <w:rsid w:val="003F61D1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E5DFD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6485E"/>
    <w:rsid w:val="00575A2C"/>
    <w:rsid w:val="00576C4C"/>
    <w:rsid w:val="005800F4"/>
    <w:rsid w:val="00582E5B"/>
    <w:rsid w:val="005A0B1A"/>
    <w:rsid w:val="005B00B5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033FC"/>
    <w:rsid w:val="0061753E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55BB"/>
    <w:rsid w:val="00746B28"/>
    <w:rsid w:val="0075118E"/>
    <w:rsid w:val="00757054"/>
    <w:rsid w:val="00772EAC"/>
    <w:rsid w:val="007765FD"/>
    <w:rsid w:val="00792C19"/>
    <w:rsid w:val="00796CC8"/>
    <w:rsid w:val="007B234D"/>
    <w:rsid w:val="007C4521"/>
    <w:rsid w:val="007D4F75"/>
    <w:rsid w:val="007E1531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61F3A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611FE"/>
    <w:rsid w:val="00976809"/>
    <w:rsid w:val="0097743F"/>
    <w:rsid w:val="009778C4"/>
    <w:rsid w:val="009814B0"/>
    <w:rsid w:val="00986438"/>
    <w:rsid w:val="00986F57"/>
    <w:rsid w:val="009B42CB"/>
    <w:rsid w:val="009B512A"/>
    <w:rsid w:val="009D5B51"/>
    <w:rsid w:val="009E06AE"/>
    <w:rsid w:val="009E47AE"/>
    <w:rsid w:val="009E7CD7"/>
    <w:rsid w:val="009F5235"/>
    <w:rsid w:val="00A036B0"/>
    <w:rsid w:val="00A21686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8788D"/>
    <w:rsid w:val="00A94890"/>
    <w:rsid w:val="00AA1B80"/>
    <w:rsid w:val="00AA3149"/>
    <w:rsid w:val="00AB189C"/>
    <w:rsid w:val="00AB2350"/>
    <w:rsid w:val="00AC407D"/>
    <w:rsid w:val="00AC5449"/>
    <w:rsid w:val="00AC69CA"/>
    <w:rsid w:val="00AC6DEA"/>
    <w:rsid w:val="00AE3AFD"/>
    <w:rsid w:val="00AE56AD"/>
    <w:rsid w:val="00AE581E"/>
    <w:rsid w:val="00AE744C"/>
    <w:rsid w:val="00AF1D74"/>
    <w:rsid w:val="00AF4EE0"/>
    <w:rsid w:val="00AF4FC5"/>
    <w:rsid w:val="00AF60A6"/>
    <w:rsid w:val="00AF7063"/>
    <w:rsid w:val="00AF7BCE"/>
    <w:rsid w:val="00B0353B"/>
    <w:rsid w:val="00B04825"/>
    <w:rsid w:val="00B14156"/>
    <w:rsid w:val="00B1484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5524D"/>
    <w:rsid w:val="00B621AF"/>
    <w:rsid w:val="00B81194"/>
    <w:rsid w:val="00B840B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0037"/>
    <w:rsid w:val="00C03106"/>
    <w:rsid w:val="00C06991"/>
    <w:rsid w:val="00C06C8E"/>
    <w:rsid w:val="00C104FB"/>
    <w:rsid w:val="00C16DED"/>
    <w:rsid w:val="00C17225"/>
    <w:rsid w:val="00C228D4"/>
    <w:rsid w:val="00C27B4D"/>
    <w:rsid w:val="00C31F95"/>
    <w:rsid w:val="00C331E9"/>
    <w:rsid w:val="00C41094"/>
    <w:rsid w:val="00C439CD"/>
    <w:rsid w:val="00C444A8"/>
    <w:rsid w:val="00C54669"/>
    <w:rsid w:val="00C573EB"/>
    <w:rsid w:val="00C60C02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743"/>
    <w:rsid w:val="00DA58E9"/>
    <w:rsid w:val="00DB0247"/>
    <w:rsid w:val="00DC45E8"/>
    <w:rsid w:val="00DC5CD2"/>
    <w:rsid w:val="00DC6478"/>
    <w:rsid w:val="00DD3AFB"/>
    <w:rsid w:val="00DD5673"/>
    <w:rsid w:val="00DD6C0E"/>
    <w:rsid w:val="00DD78AA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13A16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32590"/>
    <w:rsid w:val="00F424D3"/>
    <w:rsid w:val="00F465DB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D5FD-3897-4329-855A-4F6B18F4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12964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191</cp:revision>
  <cp:lastPrinted>2026-03-30T11:06:00Z</cp:lastPrinted>
  <dcterms:created xsi:type="dcterms:W3CDTF">2015-12-18T09:19:00Z</dcterms:created>
  <dcterms:modified xsi:type="dcterms:W3CDTF">2026-03-30T11:06:00Z</dcterms:modified>
</cp:coreProperties>
</file>