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B89" w:rsidRPr="00F55B89" w:rsidRDefault="00F55B89" w:rsidP="00F55B89">
      <w:pPr>
        <w:spacing w:before="150" w:after="0" w:line="240" w:lineRule="auto"/>
        <w:ind w:left="150"/>
        <w:outlineLvl w:val="1"/>
        <w:rPr>
          <w:rFonts w:ascii="Trebuchet MS" w:eastAsia="Times New Roman" w:hAnsi="Trebuchet MS" w:cs="Times New Roman"/>
          <w:b/>
          <w:bCs/>
          <w:color w:val="67836A"/>
          <w:sz w:val="33"/>
          <w:szCs w:val="33"/>
          <w:lang w:eastAsia="ru-RU"/>
        </w:rPr>
      </w:pPr>
      <w:r w:rsidRPr="00F55B89">
        <w:rPr>
          <w:rFonts w:ascii="Trebuchet MS" w:eastAsia="Times New Roman" w:hAnsi="Trebuchet MS" w:cs="Times New Roman"/>
          <w:b/>
          <w:bCs/>
          <w:color w:val="67836A"/>
          <w:sz w:val="33"/>
          <w:szCs w:val="33"/>
          <w:lang w:eastAsia="ru-RU"/>
        </w:rPr>
        <w:t>Независимая оценка качества</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w:t>
      </w:r>
      <w:r w:rsidRPr="00F55B89">
        <w:rPr>
          <w:rFonts w:ascii="Verdana" w:eastAsia="Times New Roman" w:hAnsi="Verdana" w:cs="Times New Roman"/>
          <w:b/>
          <w:bCs/>
          <w:sz w:val="24"/>
          <w:szCs w:val="24"/>
          <w:lang w:eastAsia="ru-RU"/>
        </w:rPr>
        <w:t xml:space="preserve">Статья 23.1. Независимая оценка качества оказания услуг организациями социального </w:t>
      </w:r>
      <w:proofErr w:type="gramStart"/>
      <w:r w:rsidRPr="00F55B89">
        <w:rPr>
          <w:rFonts w:ascii="Verdana" w:eastAsia="Times New Roman" w:hAnsi="Verdana" w:cs="Times New Roman"/>
          <w:b/>
          <w:bCs/>
          <w:sz w:val="24"/>
          <w:szCs w:val="24"/>
          <w:lang w:eastAsia="ru-RU"/>
        </w:rPr>
        <w:t>обслуживания</w:t>
      </w:r>
      <w:r w:rsidRPr="00F55B89">
        <w:rPr>
          <w:rFonts w:ascii="Verdana" w:eastAsia="Times New Roman" w:hAnsi="Verdana" w:cs="Times New Roman"/>
          <w:sz w:val="24"/>
          <w:szCs w:val="24"/>
          <w:lang w:eastAsia="ru-RU"/>
        </w:rPr>
        <w:br/>
        <w:t>(</w:t>
      </w:r>
      <w:proofErr w:type="gramEnd"/>
      <w:r w:rsidRPr="00F55B89">
        <w:rPr>
          <w:rFonts w:ascii="Verdana" w:eastAsia="Times New Roman" w:hAnsi="Verdana" w:cs="Times New Roman"/>
          <w:sz w:val="24"/>
          <w:szCs w:val="24"/>
          <w:lang w:eastAsia="ru-RU"/>
        </w:rPr>
        <w:t>введена Федеральным законом от 21.07.2014 N 256-ФЗ)</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5. В целях создания условий для организации проведения независимой оценки качества оказания услуг организациями социального обслуживания:</w:t>
      </w:r>
      <w:r w:rsidRPr="00F55B89">
        <w:rPr>
          <w:rFonts w:ascii="Verdana" w:eastAsia="Times New Roman" w:hAnsi="Verdana" w:cs="Times New Roman"/>
          <w:sz w:val="24"/>
          <w:szCs w:val="24"/>
          <w:lang w:eastAsia="ru-RU"/>
        </w:rPr>
        <w:br/>
      </w:r>
      <w:r w:rsidRPr="00F55B89">
        <w:rPr>
          <w:rFonts w:ascii="Verdana" w:eastAsia="Times New Roman" w:hAnsi="Verdana" w:cs="Times New Roman"/>
          <w:sz w:val="24"/>
          <w:szCs w:val="24"/>
          <w:lang w:eastAsia="ru-RU"/>
        </w:rPr>
        <w:lastRenderedPageBreak/>
        <w:t> 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r w:rsidRPr="00F55B89">
        <w:rPr>
          <w:rFonts w:ascii="Verdana" w:eastAsia="Times New Roman" w:hAnsi="Verdana" w:cs="Times New Roman"/>
          <w:sz w:val="24"/>
          <w:szCs w:val="24"/>
          <w:lang w:eastAsia="ru-RU"/>
        </w:rPr>
        <w:br/>
        <w:t>  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r w:rsidRPr="00F55B89">
        <w:rPr>
          <w:rFonts w:ascii="Verdana" w:eastAsia="Times New Roman" w:hAnsi="Verdana" w:cs="Times New Roman"/>
          <w:sz w:val="24"/>
          <w:szCs w:val="24"/>
          <w:lang w:eastAsia="ru-RU"/>
        </w:rPr>
        <w:br/>
        <w:t>  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xml:space="preserve">   9. Независимая оценка качества оказания услуг организациями социального обслуживания, организуемая общественными советами по ее </w:t>
      </w:r>
      <w:r w:rsidRPr="00F55B89">
        <w:rPr>
          <w:rFonts w:ascii="Verdana" w:eastAsia="Times New Roman" w:hAnsi="Verdana" w:cs="Times New Roman"/>
          <w:sz w:val="24"/>
          <w:szCs w:val="24"/>
          <w:lang w:eastAsia="ru-RU"/>
        </w:rPr>
        <w:lastRenderedPageBreak/>
        <w:t>проведению, проводится не чаще чем один раз в год и не реже чем один раз в три года.</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10. Общественные советы по проведению независимой оценки оказания услуг организациями социального обслуживания:</w:t>
      </w:r>
      <w:r w:rsidRPr="00F55B89">
        <w:rPr>
          <w:rFonts w:ascii="Verdana" w:eastAsia="Times New Roman" w:hAnsi="Verdana" w:cs="Times New Roman"/>
          <w:sz w:val="24"/>
          <w:szCs w:val="24"/>
          <w:lang w:eastAsia="ru-RU"/>
        </w:rPr>
        <w:br/>
        <w:t>  1) определяют перечни организаций социального обслуживания, в отношении которых проводится независимая оценка;</w:t>
      </w:r>
      <w:r w:rsidRPr="00F55B89">
        <w:rPr>
          <w:rFonts w:ascii="Verdana" w:eastAsia="Times New Roman" w:hAnsi="Verdana" w:cs="Times New Roman"/>
          <w:sz w:val="24"/>
          <w:szCs w:val="24"/>
          <w:lang w:eastAsia="ru-RU"/>
        </w:rPr>
        <w:br/>
        <w:t>  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r w:rsidRPr="00F55B89">
        <w:rPr>
          <w:rFonts w:ascii="Verdana" w:eastAsia="Times New Roman" w:hAnsi="Verdana" w:cs="Times New Roman"/>
          <w:sz w:val="24"/>
          <w:szCs w:val="24"/>
          <w:lang w:eastAsia="ru-RU"/>
        </w:rPr>
        <w:br/>
        <w:t>  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r w:rsidRPr="00F55B89">
        <w:rPr>
          <w:rFonts w:ascii="Verdana" w:eastAsia="Times New Roman" w:hAnsi="Verdana" w:cs="Times New Roman"/>
          <w:sz w:val="24"/>
          <w:szCs w:val="24"/>
          <w:lang w:eastAsia="ru-RU"/>
        </w:rPr>
        <w:br/>
        <w:t>  4) осуществляют независимую оценку качества оказания услуг организациями социального обслуживания с учетом информации, представленной оператором;</w:t>
      </w:r>
      <w:r w:rsidRPr="00F55B89">
        <w:rPr>
          <w:rFonts w:ascii="Verdana" w:eastAsia="Times New Roman" w:hAnsi="Verdana" w:cs="Times New Roman"/>
          <w:sz w:val="24"/>
          <w:szCs w:val="24"/>
          <w:lang w:eastAsia="ru-RU"/>
        </w:rPr>
        <w:br/>
        <w:t>  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lastRenderedPageBreak/>
        <w:t>   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13. Информация о результатах независимой оценки качества оказания услуг организациями социального обслуживания размещается соответственно:</w:t>
      </w:r>
      <w:r w:rsidRPr="00F55B89">
        <w:rPr>
          <w:rFonts w:ascii="Verdana" w:eastAsia="Times New Roman" w:hAnsi="Verdana" w:cs="Times New Roman"/>
          <w:sz w:val="24"/>
          <w:szCs w:val="24"/>
          <w:lang w:eastAsia="ru-RU"/>
        </w:rPr>
        <w:br/>
        <w:t>  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r w:rsidRPr="00F55B89">
        <w:rPr>
          <w:rFonts w:ascii="Verdana" w:eastAsia="Times New Roman" w:hAnsi="Verdana" w:cs="Times New Roman"/>
          <w:sz w:val="24"/>
          <w:szCs w:val="24"/>
          <w:lang w:eastAsia="ru-RU"/>
        </w:rPr>
        <w:br/>
        <w:t>  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w:t>
      </w:r>
    </w:p>
    <w:p w:rsidR="00F55B89" w:rsidRPr="00F55B89" w:rsidRDefault="00F55B89" w:rsidP="00F55B89">
      <w:pPr>
        <w:spacing w:before="150" w:after="150" w:line="240" w:lineRule="auto"/>
        <w:jc w:val="both"/>
        <w:rPr>
          <w:rFonts w:ascii="Verdana" w:eastAsia="Times New Roman" w:hAnsi="Verdana" w:cs="Times New Roman"/>
          <w:sz w:val="24"/>
          <w:szCs w:val="24"/>
          <w:lang w:eastAsia="ru-RU"/>
        </w:rPr>
      </w:pPr>
      <w:r w:rsidRPr="00F55B89">
        <w:rPr>
          <w:rFonts w:ascii="Verdana" w:eastAsia="Times New Roman" w:hAnsi="Verdana" w:cs="Times New Roman"/>
          <w:sz w:val="24"/>
          <w:szCs w:val="24"/>
          <w:lang w:eastAsia="ru-RU"/>
        </w:rPr>
        <w:t>   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C773B6" w:rsidRDefault="00F55B89">
      <w:bookmarkStart w:id="0" w:name="_GoBack"/>
      <w:bookmarkEnd w:id="0"/>
    </w:p>
    <w:sectPr w:rsidR="00C77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AA"/>
    <w:rsid w:val="00187CB0"/>
    <w:rsid w:val="00306CE0"/>
    <w:rsid w:val="00C542AA"/>
    <w:rsid w:val="00F55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75DB3-0EB2-4410-817A-9CD3ECF1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36458">
      <w:bodyDiv w:val="1"/>
      <w:marLeft w:val="0"/>
      <w:marRight w:val="0"/>
      <w:marTop w:val="0"/>
      <w:marBottom w:val="0"/>
      <w:divBdr>
        <w:top w:val="none" w:sz="0" w:space="0" w:color="auto"/>
        <w:left w:val="none" w:sz="0" w:space="0" w:color="auto"/>
        <w:bottom w:val="none" w:sz="0" w:space="0" w:color="auto"/>
        <w:right w:val="none" w:sz="0" w:space="0" w:color="auto"/>
      </w:divBdr>
      <w:divsChild>
        <w:div w:id="147968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1376</Words>
  <Characters>7845</Characters>
  <Application>Microsoft Office Word</Application>
  <DocSecurity>0</DocSecurity>
  <Lines>65</Lines>
  <Paragraphs>18</Paragraphs>
  <ScaleCrop>false</ScaleCrop>
  <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3</cp:revision>
  <dcterms:created xsi:type="dcterms:W3CDTF">2016-07-06T18:17:00Z</dcterms:created>
  <dcterms:modified xsi:type="dcterms:W3CDTF">2016-07-06T18:17:00Z</dcterms:modified>
</cp:coreProperties>
</file>