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4B8" w:rsidRPr="002C0AB1" w:rsidRDefault="00663D10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AB1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663D10" w:rsidRPr="002C0AB1" w:rsidRDefault="00663D10" w:rsidP="00663D1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AB1">
        <w:rPr>
          <w:rFonts w:ascii="Times New Roman" w:hAnsi="Times New Roman" w:cs="Times New Roman"/>
          <w:b/>
          <w:sz w:val="32"/>
          <w:szCs w:val="32"/>
        </w:rPr>
        <w:t xml:space="preserve">по результатам независимой оценки качества условий оказания услуг </w:t>
      </w:r>
      <w:r w:rsidRPr="002C0AB1">
        <w:rPr>
          <w:rFonts w:ascii="Times New Roman" w:hAnsi="Times New Roman" w:cs="Times New Roman"/>
          <w:b/>
          <w:bCs/>
          <w:sz w:val="32"/>
          <w:szCs w:val="32"/>
        </w:rPr>
        <w:t>государственными и муниципальными организациями Челябинской области в сфере культуры</w:t>
      </w:r>
    </w:p>
    <w:p w:rsidR="00663D10" w:rsidRPr="002C0AB1" w:rsidRDefault="00663D10" w:rsidP="00663D1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AB1" w:rsidRDefault="002C0AB1" w:rsidP="00663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10" w:rsidRDefault="00663D10" w:rsidP="00663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10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№1</w:t>
      </w:r>
      <w:r>
        <w:rPr>
          <w:rFonts w:ascii="Times New Roman" w:hAnsi="Times New Roman" w:cs="Times New Roman"/>
          <w:sz w:val="28"/>
          <w:szCs w:val="28"/>
        </w:rPr>
        <w:t xml:space="preserve"> – Титульный заголовок</w:t>
      </w:r>
    </w:p>
    <w:p w:rsidR="00663D10" w:rsidRDefault="00663D10" w:rsidP="00663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10">
        <w:rPr>
          <w:rFonts w:ascii="Times New Roman" w:hAnsi="Times New Roman" w:cs="Times New Roman"/>
          <w:b/>
          <w:i/>
          <w:sz w:val="28"/>
          <w:szCs w:val="28"/>
        </w:rPr>
        <w:t>Слайд №2</w:t>
      </w:r>
      <w:r>
        <w:rPr>
          <w:rFonts w:ascii="Times New Roman" w:hAnsi="Times New Roman" w:cs="Times New Roman"/>
          <w:sz w:val="28"/>
          <w:szCs w:val="28"/>
        </w:rPr>
        <w:t xml:space="preserve"> – Сведения об исполнителях </w:t>
      </w:r>
    </w:p>
    <w:p w:rsidR="00663D10" w:rsidRDefault="00663D10" w:rsidP="00663D1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D10">
        <w:rPr>
          <w:rFonts w:ascii="Times New Roman" w:hAnsi="Times New Roman" w:cs="Times New Roman"/>
          <w:b/>
          <w:i/>
          <w:sz w:val="28"/>
          <w:szCs w:val="28"/>
        </w:rPr>
        <w:t>Слайд №3.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D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Принципы работы, фиксируемые показатели, </w:t>
      </w:r>
      <w:r w:rsidRPr="00663D10">
        <w:rPr>
          <w:rFonts w:ascii="Times New Roman" w:hAnsi="Times New Roman" w:cs="Times New Roman"/>
          <w:b/>
          <w:bCs/>
          <w:i/>
          <w:sz w:val="28"/>
          <w:szCs w:val="28"/>
        </w:rPr>
        <w:br/>
        <w:t>цель и задачи независимой оценки</w:t>
      </w:r>
    </w:p>
    <w:p w:rsidR="00663D10" w:rsidRPr="00663D10" w:rsidRDefault="00C01C86" w:rsidP="00663D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D10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оказания услуг государственными и муниципальными организациями Челябинской области в сфере культуры проводилась в период </w:t>
      </w:r>
      <w:r w:rsidRPr="00663D10">
        <w:rPr>
          <w:rFonts w:ascii="Times New Roman" w:hAnsi="Times New Roman" w:cs="Times New Roman"/>
          <w:bCs/>
          <w:i/>
          <w:iCs/>
          <w:sz w:val="28"/>
          <w:szCs w:val="28"/>
        </w:rPr>
        <w:t>с мая по ноябрь 2022 года</w:t>
      </w:r>
      <w:r w:rsidR="00663D10" w:rsidRPr="00663D1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663D10" w:rsidRPr="00663D10" w:rsidRDefault="00C01C86" w:rsidP="00663D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D10">
        <w:rPr>
          <w:rFonts w:ascii="Times New Roman" w:hAnsi="Times New Roman" w:cs="Times New Roman"/>
          <w:bCs/>
          <w:i/>
          <w:iCs/>
          <w:sz w:val="28"/>
          <w:szCs w:val="28"/>
        </w:rPr>
        <w:t>Цель</w:t>
      </w:r>
      <w:r w:rsidRPr="00663D10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63D10">
        <w:rPr>
          <w:rFonts w:ascii="Times New Roman" w:hAnsi="Times New Roman" w:cs="Times New Roman"/>
          <w:sz w:val="28"/>
          <w:szCs w:val="28"/>
        </w:rPr>
        <w:t xml:space="preserve"> получение данных о качестве условий оказания услуг государственными и муниципальными организациями Челябинской области в сфере культуры (далее именуется – организации) на основе мнения граждан об удовлетворенности условиями оказания услуг, которые оказывают организации</w:t>
      </w:r>
    </w:p>
    <w:p w:rsidR="00663D10" w:rsidRPr="00663D10" w:rsidRDefault="00C01C86" w:rsidP="00663D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D10">
        <w:rPr>
          <w:rFonts w:ascii="Times New Roman" w:hAnsi="Times New Roman" w:cs="Times New Roman"/>
          <w:bCs/>
          <w:i/>
          <w:iCs/>
          <w:sz w:val="28"/>
          <w:szCs w:val="28"/>
        </w:rPr>
        <w:t>Объект исследования</w:t>
      </w:r>
      <w:r w:rsidRPr="00663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3D10">
        <w:rPr>
          <w:rFonts w:ascii="Times New Roman" w:hAnsi="Times New Roman" w:cs="Times New Roman"/>
          <w:sz w:val="28"/>
          <w:szCs w:val="28"/>
        </w:rPr>
        <w:t xml:space="preserve">– государственные и муниципальные организации Челябинской области в сфере культуры (в процедуру оценки было включено </w:t>
      </w:r>
      <w:r w:rsidRPr="00663D10">
        <w:rPr>
          <w:rFonts w:ascii="Times New Roman" w:hAnsi="Times New Roman" w:cs="Times New Roman"/>
          <w:bCs/>
          <w:sz w:val="28"/>
          <w:szCs w:val="28"/>
        </w:rPr>
        <w:t>98 учреждений культуры</w:t>
      </w:r>
      <w:r w:rsidRPr="00663D1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01C86" w:rsidRPr="00663D10" w:rsidRDefault="00C01C86" w:rsidP="00663D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D10">
        <w:rPr>
          <w:rFonts w:ascii="Times New Roman" w:hAnsi="Times New Roman" w:cs="Times New Roman"/>
          <w:bCs/>
          <w:i/>
          <w:iCs/>
          <w:sz w:val="28"/>
          <w:szCs w:val="28"/>
        </w:rPr>
        <w:t>Предмет исследования</w:t>
      </w:r>
      <w:r w:rsidRPr="00663D10">
        <w:rPr>
          <w:rFonts w:ascii="Times New Roman" w:hAnsi="Times New Roman" w:cs="Times New Roman"/>
          <w:sz w:val="28"/>
          <w:szCs w:val="28"/>
        </w:rPr>
        <w:t xml:space="preserve"> – оценка качества условий оказания услуг государственными и муниципальными организациями Челябинской области в сфере культуры</w:t>
      </w:r>
      <w:r w:rsidR="00663D10" w:rsidRPr="00663D10">
        <w:rPr>
          <w:rFonts w:ascii="Times New Roman" w:hAnsi="Times New Roman" w:cs="Times New Roman"/>
          <w:sz w:val="28"/>
          <w:szCs w:val="28"/>
        </w:rPr>
        <w:t>.</w:t>
      </w:r>
    </w:p>
    <w:p w:rsidR="00663D10" w:rsidRDefault="00663D10" w:rsidP="00663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D10">
        <w:rPr>
          <w:rFonts w:ascii="Times New Roman" w:hAnsi="Times New Roman" w:cs="Times New Roman"/>
          <w:b/>
          <w:i/>
          <w:sz w:val="28"/>
          <w:szCs w:val="28"/>
        </w:rPr>
        <w:t>Слайд №4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3D10">
        <w:rPr>
          <w:rFonts w:ascii="Times New Roman" w:hAnsi="Times New Roman" w:cs="Times New Roman"/>
          <w:b/>
          <w:i/>
          <w:sz w:val="28"/>
          <w:szCs w:val="28"/>
        </w:rPr>
        <w:t>Задачи и фиксируемые результаты</w:t>
      </w:r>
    </w:p>
    <w:p w:rsidR="00663D10" w:rsidRDefault="00663D10" w:rsidP="00663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независимой оценки ставились следующие задачи:</w:t>
      </w:r>
    </w:p>
    <w:p w:rsidR="00663D10" w:rsidRDefault="00663D10" w:rsidP="00663D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29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>- выявление степени удовлетворенности получателей услуг качеством условий их оказания по каждой организации культуры;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>- выявление проблем, с которыми сталкиваются граждане при получении услуг;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>- обобщение полученных результатов и определение фактических значений показателей независимой оценки;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>- выявление влияния исследуемых показателей на удовлетворенность получателей услуг качеством условий их оказания;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 xml:space="preserve">- сравнение уровня удовлетворенности получателей услуг качеством </w:t>
      </w:r>
      <w:r w:rsidRPr="008739C3">
        <w:rPr>
          <w:rFonts w:ascii="Times New Roman" w:hAnsi="Times New Roman" w:cs="Times New Roman"/>
          <w:sz w:val="28"/>
          <w:szCs w:val="28"/>
        </w:rPr>
        <w:lastRenderedPageBreak/>
        <w:t xml:space="preserve">условий их оказания в разрезе: муниципальных образований Челябинской области, организационно-правовых форм и типов организаций (учреждений), предоставляющих услуги; </w:t>
      </w:r>
    </w:p>
    <w:p w:rsidR="00663D10" w:rsidRPr="008739C3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C3">
        <w:rPr>
          <w:rFonts w:ascii="Times New Roman" w:hAnsi="Times New Roman" w:cs="Times New Roman"/>
          <w:sz w:val="28"/>
          <w:szCs w:val="28"/>
        </w:rPr>
        <w:t>- подготовка предложений по повышению качества условий оказания услуг, устранению выявленных проблем.</w:t>
      </w:r>
    </w:p>
    <w:p w:rsidR="00663D10" w:rsidRPr="002A020D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0D">
        <w:rPr>
          <w:rFonts w:ascii="Times New Roman" w:hAnsi="Times New Roman" w:cs="Times New Roman"/>
          <w:sz w:val="28"/>
          <w:szCs w:val="28"/>
        </w:rPr>
        <w:t>Результаты выявления и обобщения мнения граждан группировались по следующим содержательно-информационным блокам:</w:t>
      </w:r>
    </w:p>
    <w:p w:rsidR="00663D10" w:rsidRPr="002A020D" w:rsidRDefault="00663D10" w:rsidP="00663D10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020D">
        <w:rPr>
          <w:rFonts w:ascii="Times New Roman" w:hAnsi="Times New Roman" w:cs="Times New Roman"/>
          <w:sz w:val="28"/>
          <w:szCs w:val="28"/>
        </w:rPr>
        <w:t>удовлетворенность получателей услуг качеством условий их оказания в целом;</w:t>
      </w:r>
    </w:p>
    <w:p w:rsidR="00663D10" w:rsidRPr="002A020D" w:rsidRDefault="00663D10" w:rsidP="00663D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020D">
        <w:rPr>
          <w:rFonts w:ascii="Times New Roman" w:hAnsi="Times New Roman" w:cs="Times New Roman"/>
          <w:sz w:val="28"/>
          <w:szCs w:val="28"/>
        </w:rPr>
        <w:t>удовлетворенность получателей услуг качеством условий их оказания по отдельным показателям оценки качества и критериям оценки качества;</w:t>
      </w:r>
    </w:p>
    <w:p w:rsidR="00663D10" w:rsidRDefault="00663D10" w:rsidP="00663D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020D">
        <w:rPr>
          <w:rFonts w:ascii="Times New Roman" w:hAnsi="Times New Roman" w:cs="Times New Roman"/>
          <w:sz w:val="28"/>
          <w:szCs w:val="28"/>
        </w:rPr>
        <w:t>удовлетворенность получателей услуг качеством условий их оказания по отдельным организациям (по типам организаций, по организационно-правовой форме организаций и пр.)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D10" w:rsidRPr="00663D10" w:rsidRDefault="00663D10" w:rsidP="00663D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D10">
        <w:rPr>
          <w:rFonts w:ascii="Times New Roman" w:hAnsi="Times New Roman" w:cs="Times New Roman"/>
          <w:b/>
          <w:i/>
          <w:sz w:val="28"/>
          <w:szCs w:val="28"/>
        </w:rPr>
        <w:t xml:space="preserve">Слайд №5. Целевые группы и методы исследования </w:t>
      </w:r>
    </w:p>
    <w:p w:rsidR="00363AD7" w:rsidRDefault="00363AD7" w:rsidP="00363A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целевой группы выступало</w:t>
      </w:r>
      <w:r w:rsidRPr="00150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C0C">
        <w:rPr>
          <w:rFonts w:ascii="Times New Roman" w:hAnsi="Times New Roman" w:cs="Times New Roman"/>
          <w:sz w:val="28"/>
          <w:szCs w:val="28"/>
        </w:rPr>
        <w:t>население Челябинской области в его разновозрастной структуре, различных групп здоровья, в том числе инвалиды и лица с ограниченными возможностями здоровья, работники государственных и муниципальных организаций (учреждений), представители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AD7" w:rsidRPr="008561DF" w:rsidRDefault="00363AD7" w:rsidP="00363AD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В качестве основного метода выявления мнения граждан применяется опрос граждан в следующих формах:</w:t>
      </w:r>
    </w:p>
    <w:p w:rsidR="00363AD7" w:rsidRPr="008561DF" w:rsidRDefault="00363AD7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анкетирование,</w:t>
      </w:r>
    </w:p>
    <w:p w:rsidR="00363AD7" w:rsidRPr="008561DF" w:rsidRDefault="00363AD7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интервьюирование,</w:t>
      </w:r>
    </w:p>
    <w:p w:rsidR="00363AD7" w:rsidRPr="008561DF" w:rsidRDefault="00363AD7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телефонный опрос,</w:t>
      </w:r>
    </w:p>
    <w:p w:rsidR="00363AD7" w:rsidRPr="008561DF" w:rsidRDefault="00363AD7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онлайн анкетирование,</w:t>
      </w:r>
    </w:p>
    <w:p w:rsidR="00363AD7" w:rsidRDefault="00363AD7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61DF">
        <w:rPr>
          <w:rFonts w:ascii="Times New Roman" w:hAnsi="Times New Roman" w:cs="Times New Roman"/>
          <w:sz w:val="28"/>
          <w:szCs w:val="28"/>
        </w:rPr>
        <w:t>выезды.</w:t>
      </w:r>
    </w:p>
    <w:p w:rsidR="00606AB8" w:rsidRPr="00606AB8" w:rsidRDefault="00606AB8" w:rsidP="00606AB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AB8">
        <w:rPr>
          <w:rFonts w:ascii="Times New Roman" w:hAnsi="Times New Roman" w:cs="Times New Roman"/>
          <w:b/>
          <w:i/>
          <w:sz w:val="28"/>
          <w:szCs w:val="28"/>
        </w:rPr>
        <w:t>Слайд №6. Оценка уровня удовлетворенности получателей услуг качеством условий их оказания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479">
        <w:rPr>
          <w:rFonts w:ascii="Times New Roman" w:hAnsi="Times New Roman" w:cs="Times New Roman"/>
          <w:sz w:val="28"/>
          <w:szCs w:val="28"/>
        </w:rPr>
        <w:t xml:space="preserve">Оценка уровня удовлетворенности получателей услуг качеством </w:t>
      </w:r>
      <w:r w:rsidRPr="00E00479">
        <w:rPr>
          <w:rFonts w:ascii="Times New Roman" w:hAnsi="Times New Roman" w:cs="Times New Roman"/>
          <w:sz w:val="28"/>
          <w:szCs w:val="28"/>
        </w:rPr>
        <w:lastRenderedPageBreak/>
        <w:t>условий их оказания определя</w:t>
      </w:r>
      <w:r>
        <w:rPr>
          <w:rFonts w:ascii="Times New Roman" w:hAnsi="Times New Roman" w:cs="Times New Roman"/>
          <w:sz w:val="28"/>
          <w:szCs w:val="28"/>
        </w:rPr>
        <w:t>лась в ходе опроса (инструмент – стандартизированная анкета)</w:t>
      </w:r>
      <w:r w:rsidRPr="00E00479">
        <w:rPr>
          <w:rFonts w:ascii="Times New Roman" w:hAnsi="Times New Roman" w:cs="Times New Roman"/>
          <w:sz w:val="28"/>
          <w:szCs w:val="28"/>
        </w:rPr>
        <w:t xml:space="preserve"> ответами на вопросы по шкале, предусматривающей четыре оценки удовлетворенности: 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479">
        <w:rPr>
          <w:rFonts w:ascii="Times New Roman" w:hAnsi="Times New Roman" w:cs="Times New Roman"/>
          <w:sz w:val="28"/>
          <w:szCs w:val="28"/>
        </w:rPr>
        <w:t>«очень хорошо»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0479">
        <w:rPr>
          <w:rFonts w:ascii="Times New Roman" w:hAnsi="Times New Roman" w:cs="Times New Roman"/>
          <w:sz w:val="28"/>
          <w:szCs w:val="28"/>
        </w:rPr>
        <w:t xml:space="preserve"> «хорошо»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0479">
        <w:rPr>
          <w:rFonts w:ascii="Times New Roman" w:hAnsi="Times New Roman" w:cs="Times New Roman"/>
          <w:sz w:val="28"/>
          <w:szCs w:val="28"/>
        </w:rPr>
        <w:t xml:space="preserve"> «плохо»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0479">
        <w:rPr>
          <w:rFonts w:ascii="Times New Roman" w:hAnsi="Times New Roman" w:cs="Times New Roman"/>
          <w:sz w:val="28"/>
          <w:szCs w:val="28"/>
        </w:rPr>
        <w:t xml:space="preserve"> «очень плохо»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0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CA6">
        <w:rPr>
          <w:rFonts w:ascii="Times New Roman" w:hAnsi="Times New Roman" w:cs="Times New Roman"/>
          <w:sz w:val="28"/>
          <w:szCs w:val="28"/>
        </w:rPr>
        <w:t>- также допускался вариант «затрудняюсь ответить».</w:t>
      </w:r>
    </w:p>
    <w:p w:rsid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опроса, фиксировалось мнение получателей услуг по следующим позициям: о</w:t>
      </w:r>
      <w:r w:rsidR="00C01C86" w:rsidRPr="00606AB8">
        <w:rPr>
          <w:rFonts w:ascii="Times New Roman" w:hAnsi="Times New Roman" w:cs="Times New Roman"/>
          <w:sz w:val="28"/>
          <w:szCs w:val="28"/>
        </w:rPr>
        <w:t xml:space="preserve">ткрытость и доступность информации                                  </w:t>
      </w:r>
      <w:proofErr w:type="gramStart"/>
      <w:r w:rsidR="00C01C86" w:rsidRPr="00606AB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C01C86" w:rsidRPr="00606AB8">
        <w:rPr>
          <w:rFonts w:ascii="Times New Roman" w:hAnsi="Times New Roman" w:cs="Times New Roman"/>
          <w:sz w:val="28"/>
          <w:szCs w:val="28"/>
        </w:rPr>
        <w:t>удовлетворенность размещаемыми сведениями);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01C86" w:rsidRPr="00606AB8">
        <w:rPr>
          <w:rFonts w:ascii="Times New Roman" w:hAnsi="Times New Roman" w:cs="Times New Roman"/>
          <w:sz w:val="28"/>
          <w:szCs w:val="28"/>
        </w:rPr>
        <w:t>омфортность условий предоставления услуг;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01C86" w:rsidRPr="00606AB8">
        <w:rPr>
          <w:rFonts w:ascii="Times New Roman" w:hAnsi="Times New Roman" w:cs="Times New Roman"/>
          <w:sz w:val="28"/>
          <w:szCs w:val="28"/>
        </w:rPr>
        <w:t>оброжелательность и вежливость работников;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06AB8">
        <w:rPr>
          <w:rFonts w:ascii="Times New Roman" w:hAnsi="Times New Roman" w:cs="Times New Roman"/>
          <w:sz w:val="28"/>
          <w:szCs w:val="28"/>
        </w:rPr>
        <w:t>довлетворенность условиями оказания услуг                                                    (готовность порекомендовать организацию)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AB8" w:rsidRP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AB8">
        <w:rPr>
          <w:rFonts w:ascii="Times New Roman" w:hAnsi="Times New Roman" w:cs="Times New Roman"/>
          <w:b/>
          <w:i/>
          <w:sz w:val="28"/>
          <w:szCs w:val="28"/>
        </w:rPr>
        <w:t xml:space="preserve">Слайд №7. Информационные материалы </w:t>
      </w:r>
    </w:p>
    <w:p w:rsidR="00C01C86" w:rsidRP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анализируемых информационных материалов выступали </w:t>
      </w:r>
      <w:r w:rsidR="00C01C86" w:rsidRPr="00606AB8">
        <w:rPr>
          <w:rFonts w:ascii="Times New Roman" w:hAnsi="Times New Roman" w:cs="Times New Roman"/>
          <w:sz w:val="28"/>
          <w:szCs w:val="28"/>
        </w:rPr>
        <w:t>официальные сайты организаций в информационно-телекоммуникационной сети «Интернет» (группы в социальных сетях)</w:t>
      </w:r>
      <w:r>
        <w:rPr>
          <w:rFonts w:ascii="Times New Roman" w:hAnsi="Times New Roman" w:cs="Times New Roman"/>
          <w:sz w:val="28"/>
          <w:szCs w:val="28"/>
        </w:rPr>
        <w:t xml:space="preserve">, а также – </w:t>
      </w:r>
      <w:r w:rsidR="00C01C86" w:rsidRPr="00606AB8">
        <w:rPr>
          <w:rFonts w:ascii="Times New Roman" w:hAnsi="Times New Roman" w:cs="Times New Roman"/>
          <w:sz w:val="28"/>
          <w:szCs w:val="28"/>
        </w:rPr>
        <w:t>информационные стенды в помещениях указанных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AB8" w:rsidRPr="00606AB8" w:rsidRDefault="00606AB8" w:rsidP="00606A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bCs/>
          <w:sz w:val="28"/>
          <w:szCs w:val="28"/>
        </w:rPr>
        <w:t>Содержательные позиции анализа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материалов</w:t>
      </w:r>
      <w:r w:rsidRPr="00606AB8">
        <w:rPr>
          <w:rFonts w:ascii="Times New Roman" w:hAnsi="Times New Roman" w:cs="Times New Roman"/>
          <w:bCs/>
          <w:sz w:val="28"/>
          <w:szCs w:val="28"/>
        </w:rPr>
        <w:t>:</w:t>
      </w:r>
      <w:r w:rsidRPr="00606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C86" w:rsidRPr="00606AB8" w:rsidRDefault="00C01C86" w:rsidP="00606AB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sz w:val="28"/>
          <w:szCs w:val="28"/>
        </w:rPr>
        <w:t>Открытость и доступность информации</w:t>
      </w:r>
    </w:p>
    <w:p w:rsidR="00C01C86" w:rsidRDefault="00C01C86" w:rsidP="00606AB8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sz w:val="28"/>
          <w:szCs w:val="28"/>
        </w:rPr>
        <w:t>Наличие и функционирование дистанционных способов обратной связи и взаимодействия с получателями услуг</w:t>
      </w:r>
      <w:r w:rsidR="00606AB8">
        <w:rPr>
          <w:rFonts w:ascii="Times New Roman" w:hAnsi="Times New Roman" w:cs="Times New Roman"/>
          <w:sz w:val="28"/>
          <w:szCs w:val="28"/>
        </w:rPr>
        <w:t>.</w:t>
      </w:r>
    </w:p>
    <w:p w:rsidR="00606AB8" w:rsidRDefault="00606AB8" w:rsidP="00606AB8">
      <w:pPr>
        <w:widowControl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AB8">
        <w:rPr>
          <w:rFonts w:ascii="Times New Roman" w:hAnsi="Times New Roman" w:cs="Times New Roman"/>
          <w:b/>
          <w:i/>
          <w:sz w:val="28"/>
          <w:szCs w:val="28"/>
        </w:rPr>
        <w:t xml:space="preserve">Слайд №8. Доступность услуг для инвалидов </w:t>
      </w:r>
    </w:p>
    <w:p w:rsidR="00606AB8" w:rsidRDefault="00606AB8" w:rsidP="00606AB8">
      <w:pPr>
        <w:widowControl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независимой оценки отдельным направлением работы являлось изучение параметра: доступность услуг для инвалидов, фиксируемого через следующие позиции: </w:t>
      </w:r>
    </w:p>
    <w:p w:rsidR="00C01C86" w:rsidRPr="00606AB8" w:rsidRDefault="00C01C86" w:rsidP="00606AB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 (в % от общего числа опрошенных получателей услуг - инвалидов);</w:t>
      </w:r>
    </w:p>
    <w:p w:rsidR="00C01C86" w:rsidRPr="00606AB8" w:rsidRDefault="00C01C86" w:rsidP="00606AB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sz w:val="28"/>
          <w:szCs w:val="28"/>
        </w:rPr>
        <w:lastRenderedPageBreak/>
        <w:t>Оборудование территории, прилегающей к организации, и ее помещений с учетом доступности для инвалидов;</w:t>
      </w:r>
    </w:p>
    <w:p w:rsidR="00C01C86" w:rsidRDefault="00C01C86" w:rsidP="00606AB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B8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="00606AB8">
        <w:rPr>
          <w:rFonts w:ascii="Times New Roman" w:hAnsi="Times New Roman" w:cs="Times New Roman"/>
          <w:sz w:val="28"/>
          <w:szCs w:val="28"/>
        </w:rPr>
        <w:t>.</w:t>
      </w:r>
    </w:p>
    <w:p w:rsidR="00606AB8" w:rsidRPr="00606AB8" w:rsidRDefault="00606AB8" w:rsidP="00A26C31">
      <w:pPr>
        <w:widowControl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AB8">
        <w:rPr>
          <w:rFonts w:ascii="Times New Roman" w:hAnsi="Times New Roman" w:cs="Times New Roman"/>
          <w:b/>
          <w:i/>
          <w:sz w:val="28"/>
          <w:szCs w:val="28"/>
        </w:rPr>
        <w:t>Слайд №9. Исследуемые территории</w:t>
      </w:r>
    </w:p>
    <w:p w:rsidR="00A26C31" w:rsidRDefault="00606AB8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C31">
        <w:rPr>
          <w:rFonts w:ascii="Times New Roman" w:hAnsi="Times New Roman" w:cs="Times New Roman"/>
          <w:sz w:val="28"/>
          <w:szCs w:val="28"/>
        </w:rPr>
        <w:t>При изложении результатов использовался принцип представления данных по следующим исследуемым территориям: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Коркинский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муниципальный район (5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муниципальный район (3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Кыштымский городской округ (3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Миасский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городской округ (7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Нязепетровский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муниципальный район (3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Озерский городской округ (8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Пластовский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муниципальный район (4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Трехгорный городской округ (5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Троицкий городской округ (5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Усть-Катавский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городской округ (3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городской округ (5 учреждений):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муниципальный район (21 учреждение);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Челябинский городской округ (19 учреждений);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>- Чесменский муниципальный район (3 учреждения);</w:t>
      </w:r>
    </w:p>
    <w:p w:rsidR="00A26C31" w:rsidRPr="00E02D5F" w:rsidRDefault="00A26C31" w:rsidP="00A26C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D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D5F">
        <w:rPr>
          <w:rFonts w:ascii="Times New Roman" w:hAnsi="Times New Roman" w:cs="Times New Roman"/>
          <w:sz w:val="28"/>
          <w:szCs w:val="28"/>
        </w:rPr>
        <w:t>Южноуральский</w:t>
      </w:r>
      <w:proofErr w:type="spellEnd"/>
      <w:r w:rsidRPr="00E02D5F">
        <w:rPr>
          <w:rFonts w:ascii="Times New Roman" w:hAnsi="Times New Roman" w:cs="Times New Roman"/>
          <w:sz w:val="28"/>
          <w:szCs w:val="28"/>
        </w:rPr>
        <w:t xml:space="preserve"> городской округ (4 учреждения). </w:t>
      </w:r>
    </w:p>
    <w:p w:rsidR="00606AB8" w:rsidRPr="00A26C31" w:rsidRDefault="00A26C31" w:rsidP="00606AB8">
      <w:pPr>
        <w:widowControl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C31">
        <w:rPr>
          <w:rFonts w:ascii="Times New Roman" w:hAnsi="Times New Roman" w:cs="Times New Roman"/>
          <w:b/>
          <w:i/>
          <w:sz w:val="28"/>
          <w:szCs w:val="28"/>
        </w:rPr>
        <w:t xml:space="preserve">Слайд №10. Ранжирование показателей </w:t>
      </w:r>
    </w:p>
    <w:p w:rsidR="00606AB8" w:rsidRDefault="00606AB8" w:rsidP="00606AB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6C31">
        <w:rPr>
          <w:rFonts w:ascii="Times New Roman" w:hAnsi="Times New Roman" w:cs="Times New Roman"/>
          <w:sz w:val="28"/>
          <w:szCs w:val="28"/>
        </w:rPr>
        <w:t xml:space="preserve">По каждому учреждению, принимавшему участие в процедуре оценки, рассчитывался итоговый балл, который отражался в пункте представления информации «Общий вывод по всем направлениям оценки». По результатам исследования осуществлялось ранжирование и фиксировалось место, которое занимает организация в данном </w:t>
      </w:r>
      <w:r w:rsidR="00A26C31" w:rsidRPr="00A26C31">
        <w:rPr>
          <w:rFonts w:ascii="Times New Roman" w:hAnsi="Times New Roman" w:cs="Times New Roman"/>
          <w:sz w:val="28"/>
          <w:szCs w:val="28"/>
        </w:rPr>
        <w:t xml:space="preserve">рейтинге. Учреждения, в которых итоговый балл обозначался в границах: до 450 (при максимальном значении 500 баллов) были отнесены к числу лидирующих; от 449,5 до 400 – к числу оптимально </w:t>
      </w:r>
      <w:r w:rsidR="00A26C31" w:rsidRPr="00A26C31">
        <w:rPr>
          <w:rFonts w:ascii="Times New Roman" w:hAnsi="Times New Roman" w:cs="Times New Roman"/>
          <w:sz w:val="28"/>
          <w:szCs w:val="28"/>
        </w:rPr>
        <w:lastRenderedPageBreak/>
        <w:t>функционирующих; от 399 до 300 – к числу стабильно развивающихся; от 299 и ниже – к нуждающимся в оптимизации работы.</w:t>
      </w:r>
    </w:p>
    <w:p w:rsidR="00A26C31" w:rsidRPr="00A26C31" w:rsidRDefault="00A26C31" w:rsidP="00606AB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6C31">
        <w:rPr>
          <w:rFonts w:ascii="Times New Roman" w:hAnsi="Times New Roman" w:cs="Times New Roman"/>
          <w:b/>
          <w:i/>
          <w:sz w:val="28"/>
          <w:szCs w:val="28"/>
        </w:rPr>
        <w:t xml:space="preserve">Слайд №11. Ранжирование показателей </w:t>
      </w:r>
      <w:r w:rsidRPr="00A26C31">
        <w:rPr>
          <w:rFonts w:ascii="Times New Roman" w:hAnsi="Times New Roman" w:cs="Times New Roman"/>
          <w:i/>
          <w:sz w:val="28"/>
          <w:szCs w:val="28"/>
        </w:rPr>
        <w:t>(продолжение)</w:t>
      </w:r>
      <w:r w:rsidRPr="00A26C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26C31" w:rsidRPr="002A020D" w:rsidRDefault="00A26C31" w:rsidP="00A26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6DC"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(занимаемое место и полученные баллы) группировались</w:t>
      </w:r>
      <w:r w:rsidRPr="006536DC">
        <w:rPr>
          <w:rFonts w:ascii="Times New Roman" w:hAnsi="Times New Roman" w:cs="Times New Roman"/>
          <w:sz w:val="28"/>
          <w:szCs w:val="28"/>
        </w:rPr>
        <w:t xml:space="preserve"> по нескольким типам ранжирования (рейтингам):</w:t>
      </w:r>
      <w:r w:rsidR="00D75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рейтинг (итоговый показатель);</w:t>
      </w:r>
      <w:r w:rsidR="00D75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Рейтинг по типам учреждений;</w:t>
      </w:r>
      <w:r w:rsidR="00D75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Рейтинг по территориям (распределение лидирующих и отстающих учреждений внутри каждого территориального образования). </w:t>
      </w:r>
    </w:p>
    <w:p w:rsidR="00A26C31" w:rsidRPr="00C01C86" w:rsidRDefault="00C01C86" w:rsidP="00A26C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Слайд №12. Распределение результатов по территориям </w:t>
      </w:r>
    </w:p>
    <w:p w:rsidR="00606AB8" w:rsidRPr="00C01C86" w:rsidRDefault="00C01C86" w:rsidP="00C01C8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86">
        <w:rPr>
          <w:rFonts w:ascii="Times New Roman" w:hAnsi="Times New Roman" w:cs="Times New Roman"/>
          <w:sz w:val="28"/>
          <w:szCs w:val="28"/>
        </w:rPr>
        <w:t xml:space="preserve">Обратимся к анализу показателей по каждой исследуемой территории. </w:t>
      </w:r>
    </w:p>
    <w:p w:rsidR="00C01C86" w:rsidRPr="00C01C86" w:rsidRDefault="00C01C86" w:rsidP="00C01C8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1. </w:t>
      </w:r>
      <w:proofErr w:type="spellStart"/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Коркинский</w:t>
      </w:r>
      <w:proofErr w:type="spellEnd"/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</w:t>
      </w:r>
    </w:p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650"/>
        <w:gridCol w:w="6999"/>
        <w:gridCol w:w="1325"/>
      </w:tblGrid>
      <w:tr w:rsidR="00C01C86" w:rsidRPr="00C57B8A" w:rsidTr="00D75A28">
        <w:trPr>
          <w:trHeight w:val="6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57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 </w:t>
            </w:r>
          </w:p>
          <w:p w:rsidR="002C0AB1" w:rsidRPr="00C57B8A" w:rsidRDefault="002C0AB1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467,9</w:t>
            </w:r>
          </w:p>
        </w:tc>
      </w:tr>
      <w:tr w:rsidR="00C01C86" w:rsidRPr="00C57B8A" w:rsidTr="00D75A28">
        <w:trPr>
          <w:trHeight w:val="56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культуры Первомайского городского поселения»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</w:t>
            </w:r>
          </w:p>
        </w:tc>
      </w:tr>
      <w:tr w:rsidR="00C01C86" w:rsidRPr="00C57B8A" w:rsidTr="00D75A28">
        <w:trPr>
          <w:trHeight w:val="55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«Дворец культуры «Горняк»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447,5</w:t>
            </w:r>
          </w:p>
        </w:tc>
      </w:tr>
      <w:tr w:rsidR="00C01C86" w:rsidRPr="00C57B8A" w:rsidTr="00D75A28">
        <w:trPr>
          <w:trHeight w:val="55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«Клуб по кинопоказу им. А.М. Горького»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 </w:t>
            </w:r>
          </w:p>
          <w:p w:rsidR="002C0AB1" w:rsidRPr="00C57B8A" w:rsidRDefault="002C0AB1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433,2</w:t>
            </w:r>
          </w:p>
        </w:tc>
      </w:tr>
      <w:tr w:rsidR="00C01C86" w:rsidRPr="00C57B8A" w:rsidTr="00D75A28">
        <w:trPr>
          <w:trHeight w:val="54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«Библиотека Первомайского городского поселения»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</w:tbl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C01C86" w:rsidRDefault="00C01C86" w:rsidP="00C01C86">
      <w:pPr>
        <w:pStyle w:val="a4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2. </w:t>
      </w:r>
      <w:proofErr w:type="spellStart"/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Кунашакский</w:t>
      </w:r>
      <w:proofErr w:type="spellEnd"/>
      <w:r w:rsidRPr="00C0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</w:t>
      </w:r>
    </w:p>
    <w:p w:rsidR="00C01C86" w:rsidRPr="00C57B8A" w:rsidRDefault="00C01C86" w:rsidP="00C01C8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653"/>
        <w:gridCol w:w="6722"/>
        <w:gridCol w:w="1599"/>
      </w:tblGrid>
      <w:tr w:rsidR="00C01C86" w:rsidRPr="00C57B8A" w:rsidTr="00D75A28">
        <w:trPr>
          <w:trHeight w:val="6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0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«Дворец культуры» </w:t>
            </w:r>
          </w:p>
          <w:p w:rsidR="002C0AB1" w:rsidRPr="00C57B8A" w:rsidRDefault="002C0AB1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396,5</w:t>
            </w:r>
          </w:p>
        </w:tc>
      </w:tr>
      <w:tr w:rsidR="00C01C86" w:rsidRPr="00C57B8A" w:rsidTr="00D75A28">
        <w:trPr>
          <w:trHeight w:val="57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2C0AB1" w:rsidRPr="00C57B8A" w:rsidRDefault="002C0AB1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</w:tr>
      <w:tr w:rsidR="00C01C86" w:rsidRPr="00C57B8A" w:rsidTr="00D75A28">
        <w:trPr>
          <w:trHeight w:val="56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</w:t>
            </w:r>
            <w:proofErr w:type="gram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 система</w:t>
            </w:r>
            <w:proofErr w:type="gram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 </w:t>
            </w:r>
          </w:p>
          <w:p w:rsidR="002C0AB1" w:rsidRPr="00C57B8A" w:rsidRDefault="002C0AB1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</w:t>
            </w:r>
          </w:p>
        </w:tc>
      </w:tr>
    </w:tbl>
    <w:p w:rsidR="002C0AB1" w:rsidRDefault="002C0AB1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0AB1" w:rsidRDefault="002C0AB1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0AB1" w:rsidRDefault="002C0AB1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D75A28" w:rsidRDefault="00D75A28" w:rsidP="00D75A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3.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Кыштымский городской округ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56"/>
        <w:gridCol w:w="6901"/>
        <w:gridCol w:w="1559"/>
      </w:tblGrid>
      <w:tr w:rsidR="00C01C86" w:rsidRPr="00C57B8A" w:rsidTr="00D75A28">
        <w:trPr>
          <w:trHeight w:val="6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455,4</w:t>
            </w:r>
          </w:p>
        </w:tc>
      </w:tr>
      <w:tr w:rsidR="00C01C86" w:rsidRPr="00C57B8A" w:rsidTr="00D75A28">
        <w:trPr>
          <w:trHeight w:val="4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450,8</w:t>
            </w:r>
          </w:p>
        </w:tc>
      </w:tr>
      <w:tr w:rsidR="00C01C86" w:rsidRPr="00C57B8A" w:rsidTr="00D75A28">
        <w:trPr>
          <w:trHeight w:val="4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«Кыштымский историко-революционный музей»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</w:tr>
    </w:tbl>
    <w:p w:rsidR="002C0AB1" w:rsidRPr="002C0AB1" w:rsidRDefault="002C0AB1" w:rsidP="00D75A28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01C86" w:rsidRPr="00D75A28" w:rsidRDefault="00D75A28" w:rsidP="00D75A2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4.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Миасский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60"/>
        <w:gridCol w:w="6755"/>
        <w:gridCol w:w="1701"/>
      </w:tblGrid>
      <w:tr w:rsidR="00C01C86" w:rsidRPr="00C57B8A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досуга «Строитель»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472,8</w:t>
            </w:r>
          </w:p>
        </w:tc>
      </w:tr>
      <w:tr w:rsidR="00C01C86" w:rsidRPr="00C57B8A" w:rsidTr="00D75A28">
        <w:trPr>
          <w:trHeight w:val="4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народного творчества»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</w:tr>
      <w:tr w:rsidR="00C01C86" w:rsidRPr="00C57B8A" w:rsidTr="00D75A2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 «Динамо»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445,9</w:t>
            </w:r>
          </w:p>
        </w:tc>
      </w:tr>
      <w:tr w:rsidR="00C01C86" w:rsidRPr="00C57B8A" w:rsidTr="00D75A28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 «Бригантина»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441,7</w:t>
            </w:r>
          </w:p>
        </w:tc>
      </w:tr>
      <w:tr w:rsidR="00C01C86" w:rsidRPr="00C57B8A" w:rsidTr="00D75A28">
        <w:trPr>
          <w:trHeight w:val="3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Дом культуры»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01C86" w:rsidRPr="00C57B8A" w:rsidTr="00D75A28">
        <w:trPr>
          <w:trHeight w:val="5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краеведческий музей»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Миасского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418,3</w:t>
            </w:r>
          </w:p>
        </w:tc>
      </w:tr>
      <w:tr w:rsidR="00C01C86" w:rsidRPr="00C57B8A" w:rsidTr="00D75A28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418,2</w:t>
            </w:r>
          </w:p>
        </w:tc>
      </w:tr>
    </w:tbl>
    <w:p w:rsidR="00C01C86" w:rsidRPr="002C0AB1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5.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Нязепетровский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60"/>
        <w:gridCol w:w="6755"/>
        <w:gridCol w:w="1701"/>
      </w:tblGrid>
      <w:tr w:rsidR="00C01C86" w:rsidRPr="00C57B8A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5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информационно-библиотечная система»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448,4</w:t>
            </w:r>
          </w:p>
        </w:tc>
      </w:tr>
      <w:tr w:rsidR="00C01C86" w:rsidRPr="00C57B8A" w:rsidTr="00D75A28">
        <w:trPr>
          <w:trHeight w:val="3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«Музейно-выставочный центр»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424,1</w:t>
            </w:r>
          </w:p>
        </w:tc>
      </w:tr>
      <w:tr w:rsidR="00C01C86" w:rsidRPr="00C57B8A" w:rsidTr="00D75A28">
        <w:trPr>
          <w:trHeight w:val="4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423,2</w:t>
            </w:r>
          </w:p>
        </w:tc>
      </w:tr>
    </w:tbl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6.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Озерский городской округ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660"/>
        <w:gridCol w:w="6440"/>
        <w:gridCol w:w="2016"/>
      </w:tblGrid>
      <w:tr w:rsidR="00C01C86" w:rsidRPr="00C57B8A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«Культурно-досуговый центр»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</w:tr>
      <w:tr w:rsidR="00C01C86" w:rsidRPr="00C57B8A" w:rsidTr="00D75A28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</w:t>
            </w:r>
          </w:p>
        </w:tc>
      </w:tr>
      <w:tr w:rsidR="00C01C86" w:rsidRPr="00C57B8A" w:rsidTr="00D75A28">
        <w:trPr>
          <w:trHeight w:val="2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Озёрский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 драмы и комедии «Наш дом»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C01C86" w:rsidRPr="00C57B8A" w:rsidTr="00D75A28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 кукол «Золотой петушок»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407,4</w:t>
            </w:r>
          </w:p>
        </w:tc>
      </w:tr>
      <w:tr w:rsidR="00C01C86" w:rsidRPr="00C57B8A" w:rsidTr="00D75A28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музей»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405,3</w:t>
            </w:r>
          </w:p>
        </w:tc>
      </w:tr>
      <w:tr w:rsidR="00C01C86" w:rsidRPr="00C57B8A" w:rsidTr="00D75A28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культуры и досуга молодежи»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C01C86" w:rsidRPr="00C57B8A" w:rsidTr="00D75A28">
        <w:trPr>
          <w:trHeight w:val="4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Синегорье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387,4</w:t>
            </w:r>
          </w:p>
        </w:tc>
      </w:tr>
      <w:tr w:rsidR="00C01C86" w:rsidRPr="00C57B8A" w:rsidTr="00D75A28">
        <w:trPr>
          <w:trHeight w:val="4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ОГО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366,9</w:t>
            </w:r>
          </w:p>
        </w:tc>
      </w:tr>
    </w:tbl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D75A28" w:rsidRDefault="00D75A28" w:rsidP="00D75A2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7.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Пластовский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60"/>
        <w:gridCol w:w="7039"/>
        <w:gridCol w:w="1559"/>
      </w:tblGrid>
      <w:tr w:rsidR="00C01C86" w:rsidRPr="00C57B8A" w:rsidTr="00D75A28">
        <w:trPr>
          <w:trHeight w:val="4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музей»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  <w:tr w:rsidR="00C01C86" w:rsidRPr="00C57B8A" w:rsidTr="00D75A28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библиотечная система»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466,4</w:t>
            </w:r>
          </w:p>
        </w:tc>
      </w:tr>
      <w:tr w:rsidR="00C01C86" w:rsidRPr="00C57B8A" w:rsidTr="00D75A28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453,4</w:t>
            </w:r>
          </w:p>
        </w:tc>
      </w:tr>
      <w:tr w:rsidR="00C01C86" w:rsidRPr="00C57B8A" w:rsidTr="00D75A28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</w:tr>
    </w:tbl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8.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Трехгорный городской округ</w:t>
      </w: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660"/>
        <w:gridCol w:w="6755"/>
        <w:gridCol w:w="1559"/>
      </w:tblGrid>
      <w:tr w:rsidR="00C01C86" w:rsidRPr="00C57B8A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библиотека»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C01C86" w:rsidRPr="00C57B8A" w:rsidTr="00D75A28">
        <w:trPr>
          <w:trHeight w:val="6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детская библиотека имени Сергея Тимофеевича Аксакова»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C01C86" w:rsidRPr="00C57B8A" w:rsidTr="00D75A28">
        <w:trPr>
          <w:trHeight w:val="4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«Досуговый центр «Утёс»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</w:t>
            </w:r>
          </w:p>
        </w:tc>
      </w:tr>
      <w:tr w:rsidR="00C01C86" w:rsidRPr="00C57B8A" w:rsidTr="00D75A28">
        <w:trPr>
          <w:trHeight w:val="4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«Дворец культуры «Икар»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440,2</w:t>
            </w:r>
          </w:p>
        </w:tc>
      </w:tr>
      <w:tr w:rsidR="00C01C86" w:rsidRPr="00C57B8A" w:rsidTr="00D75A28">
        <w:trPr>
          <w:trHeight w:val="4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«Историко-культурный центр»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403,5</w:t>
            </w:r>
          </w:p>
        </w:tc>
      </w:tr>
    </w:tbl>
    <w:p w:rsidR="00C01C86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9.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 городской округ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660"/>
        <w:gridCol w:w="6440"/>
        <w:gridCol w:w="1591"/>
      </w:tblGrid>
      <w:tr w:rsidR="00C01C86" w:rsidRPr="00C57B8A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города Троицка»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484,8</w:t>
            </w:r>
          </w:p>
        </w:tc>
      </w:tr>
      <w:tr w:rsidR="00C01C86" w:rsidRPr="00C57B8A" w:rsidTr="00D75A28">
        <w:trPr>
          <w:trHeight w:val="4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досуга города Троицка»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C01C86" w:rsidRPr="00C57B8A" w:rsidTr="00D75A28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«Троицкий краеведческий музей»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420,5</w:t>
            </w:r>
          </w:p>
        </w:tc>
      </w:tr>
      <w:tr w:rsidR="00C01C86" w:rsidRPr="00C57B8A" w:rsidTr="00D75A2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культурного развития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</w:t>
            </w:r>
          </w:p>
        </w:tc>
      </w:tr>
      <w:tr w:rsidR="00C01C86" w:rsidRPr="00C57B8A" w:rsidTr="00D75A28">
        <w:trPr>
          <w:trHeight w:val="4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культуры им. Луначарского»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363,6</w:t>
            </w:r>
          </w:p>
        </w:tc>
      </w:tr>
    </w:tbl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10.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Усть-Катавский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</w:t>
      </w:r>
    </w:p>
    <w:p w:rsidR="00C01C86" w:rsidRPr="00C317A2" w:rsidRDefault="00C01C86" w:rsidP="00C0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660"/>
        <w:gridCol w:w="6440"/>
        <w:gridCol w:w="1449"/>
      </w:tblGrid>
      <w:tr w:rsidR="00C01C86" w:rsidRPr="00C317A2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  <w:tr w:rsidR="00C01C86" w:rsidRPr="00C57B8A" w:rsidTr="00D75A28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455,7</w:t>
            </w:r>
          </w:p>
        </w:tc>
      </w:tr>
      <w:tr w:rsidR="00C01C86" w:rsidRPr="00C57B8A" w:rsidTr="00D75A28">
        <w:trPr>
          <w:trHeight w:val="2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«Историко-краеведческий музей» </w:t>
            </w:r>
          </w:p>
          <w:p w:rsidR="00D75A28" w:rsidRPr="00C57B8A" w:rsidRDefault="00D75A28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</w:tr>
    </w:tbl>
    <w:p w:rsidR="00C01C86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Default="00C01C86" w:rsidP="00C0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11.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Чебаркульский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</w:t>
      </w: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660"/>
        <w:gridCol w:w="6755"/>
        <w:gridCol w:w="1418"/>
      </w:tblGrid>
      <w:tr w:rsidR="00C01C86" w:rsidRPr="00C317A2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ЧГО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«Городская библиотека»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471,4</w:t>
            </w:r>
          </w:p>
        </w:tc>
      </w:tr>
      <w:tr w:rsidR="00C01C86" w:rsidRPr="00C57B8A" w:rsidTr="00D75A28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ЧГО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«Выставочный зал «Колорит»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465,1</w:t>
            </w:r>
          </w:p>
        </w:tc>
      </w:tr>
      <w:tr w:rsidR="00C01C86" w:rsidRPr="00C57B8A" w:rsidTr="00D75A28">
        <w:trPr>
          <w:trHeight w:val="2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ЧГО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досуга им. Горького»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444,1</w:t>
            </w:r>
          </w:p>
        </w:tc>
      </w:tr>
      <w:tr w:rsidR="00C01C86" w:rsidRPr="00C57B8A" w:rsidTr="00D75A28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ЧГО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«Краеведческий музей»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443,2</w:t>
            </w:r>
          </w:p>
        </w:tc>
      </w:tr>
      <w:tr w:rsidR="00C01C86" w:rsidRPr="00C57B8A" w:rsidTr="00D75A28">
        <w:trPr>
          <w:trHeight w:val="4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ЧГО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кинопоказа и детского досуга «Волна»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441,8</w:t>
            </w:r>
          </w:p>
        </w:tc>
      </w:tr>
    </w:tbl>
    <w:p w:rsidR="00C01C86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12.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Чебаркульский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652"/>
        <w:gridCol w:w="6714"/>
        <w:gridCol w:w="1325"/>
      </w:tblGrid>
      <w:tr w:rsidR="00C01C86" w:rsidRPr="00C317A2" w:rsidTr="00D75A28">
        <w:trPr>
          <w:trHeight w:val="6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C317A2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7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466,8</w:t>
            </w:r>
          </w:p>
        </w:tc>
      </w:tr>
      <w:tr w:rsidR="00C01C86" w:rsidRPr="00C57B8A" w:rsidTr="00D75A28">
        <w:trPr>
          <w:trHeight w:val="53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Травниковского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413,6</w:t>
            </w:r>
          </w:p>
        </w:tc>
      </w:tr>
      <w:tr w:rsidR="00C01C86" w:rsidRPr="00C57B8A" w:rsidTr="00D75A28">
        <w:trPr>
          <w:trHeight w:val="323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 С.А. Герасимова»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</w:tr>
      <w:tr w:rsidR="00C01C86" w:rsidRPr="00C57B8A" w:rsidTr="00D75A28">
        <w:trPr>
          <w:trHeight w:val="683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411,1</w:t>
            </w:r>
          </w:p>
        </w:tc>
      </w:tr>
      <w:tr w:rsidR="00C01C86" w:rsidRPr="00C57B8A" w:rsidTr="00D75A28">
        <w:trPr>
          <w:trHeight w:val="76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Кундравинского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409,1</w:t>
            </w:r>
          </w:p>
        </w:tc>
      </w:tr>
      <w:tr w:rsidR="00C01C86" w:rsidRPr="00C57B8A" w:rsidTr="00D75A28">
        <w:trPr>
          <w:trHeight w:val="57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Кундравинского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406,5</w:t>
            </w:r>
          </w:p>
        </w:tc>
      </w:tr>
      <w:tr w:rsidR="00C01C86" w:rsidRPr="00C57B8A" w:rsidTr="00D75A28">
        <w:trPr>
          <w:trHeight w:val="55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Травниковского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  <w:tr w:rsidR="00C01C86" w:rsidRPr="00C57B8A" w:rsidTr="00D75A28">
        <w:trPr>
          <w:trHeight w:val="63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Тимирязевского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«Библиотека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Бишкильского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397,6</w:t>
            </w:r>
          </w:p>
        </w:tc>
      </w:tr>
      <w:tr w:rsidR="00C01C86" w:rsidRPr="00C57B8A" w:rsidTr="00D75A28">
        <w:trPr>
          <w:trHeight w:val="59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C01C86" w:rsidRPr="00C57B8A" w:rsidTr="00D75A28">
        <w:trPr>
          <w:trHeight w:val="78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сельского 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388,8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народного творчества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Травниковского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388,1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«Библиотека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C01C86" w:rsidRPr="00C57B8A" w:rsidTr="00D75A2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Бишкильского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380,9</w:t>
            </w:r>
          </w:p>
        </w:tc>
      </w:tr>
      <w:tr w:rsidR="00C01C86" w:rsidRPr="00C57B8A" w:rsidTr="00D75A28">
        <w:trPr>
          <w:trHeight w:val="66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Непряхинского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</w:tr>
      <w:tr w:rsidR="00C01C86" w:rsidRPr="00C57B8A" w:rsidTr="00D75A28">
        <w:trPr>
          <w:trHeight w:val="30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Тимирязевского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C01C86" w:rsidRPr="00C57B8A" w:rsidTr="00D75A28">
        <w:trPr>
          <w:trHeight w:val="62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Непряхинского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359,1</w:t>
            </w:r>
          </w:p>
        </w:tc>
      </w:tr>
      <w:tr w:rsidR="00C01C86" w:rsidRPr="00C57B8A" w:rsidTr="00D75A28">
        <w:trPr>
          <w:trHeight w:val="28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C01C86" w:rsidRPr="00C57B8A" w:rsidTr="00D75A28">
        <w:trPr>
          <w:trHeight w:val="28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354,1</w:t>
            </w:r>
          </w:p>
        </w:tc>
      </w:tr>
      <w:tr w:rsidR="00C01C86" w:rsidRPr="00C57B8A" w:rsidTr="00D75A28">
        <w:trPr>
          <w:trHeight w:val="28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Шахматовского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</w:t>
            </w:r>
          </w:p>
        </w:tc>
      </w:tr>
    </w:tbl>
    <w:p w:rsidR="00D75A28" w:rsidRDefault="00D75A28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5199" w:rsidRDefault="00DC5199" w:rsidP="00DC5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заметить, что учреждения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занимают неравнозначные позиции по исследуемым показателям. Это объясняется, в том числе, и тем, что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представил наибольшее количество учреждений в список проведения оценки качества. В целом, можно говорить о том, что все учреждения обеспечивают оптимальный уровень качества оказания услуг населению, большинство из них относятся к стабильно развивающемуся и оптимально функционирующему типу. Лидирующие позиции у одного учреждения</w:t>
      </w:r>
      <w:r w:rsidRPr="003A3584">
        <w:rPr>
          <w:rFonts w:ascii="Times New Roman" w:hAnsi="Times New Roman" w:cs="Times New Roman"/>
          <w:sz w:val="28"/>
          <w:szCs w:val="28"/>
        </w:rPr>
        <w:t xml:space="preserve">: </w:t>
      </w:r>
      <w:r w:rsidRPr="003A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«</w:t>
      </w:r>
      <w:proofErr w:type="spellStart"/>
      <w:r w:rsidRPr="003A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Межпоселенческая</w:t>
      </w:r>
      <w:proofErr w:type="spellEnd"/>
      <w:r w:rsidRPr="003A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 </w:t>
      </w:r>
      <w:proofErr w:type="spellStart"/>
      <w:r w:rsidRPr="003A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3A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5199" w:rsidRDefault="00DC5199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13.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Челябинский городской округ</w:t>
      </w: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660"/>
        <w:gridCol w:w="6613"/>
        <w:gridCol w:w="1560"/>
      </w:tblGrid>
      <w:tr w:rsidR="00C01C86" w:rsidRPr="008107C3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4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«Централизованная библиотечная система»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459,1</w:t>
            </w:r>
          </w:p>
        </w:tc>
      </w:tr>
      <w:tr w:rsidR="00C01C86" w:rsidRPr="00C57B8A" w:rsidTr="00D75A28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451,9</w:t>
            </w:r>
          </w:p>
        </w:tc>
      </w:tr>
      <w:tr w:rsidR="00C01C86" w:rsidRPr="00C57B8A" w:rsidTr="00D75A28">
        <w:trPr>
          <w:trHeight w:val="5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система детских библиотек»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449,9</w:t>
            </w:r>
          </w:p>
        </w:tc>
      </w:tr>
      <w:tr w:rsidR="00C01C86" w:rsidRPr="00C57B8A" w:rsidTr="00D75A28">
        <w:trPr>
          <w:trHeight w:val="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культурно-информационной деятельности»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440,8</w:t>
            </w:r>
          </w:p>
        </w:tc>
      </w:tr>
      <w:tr w:rsidR="00C01C86" w:rsidRPr="00C57B8A" w:rsidTr="00D75A28">
        <w:trPr>
          <w:trHeight w:val="4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«Киноцентр «Импульс»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</w:tr>
      <w:tr w:rsidR="00C01C86" w:rsidRPr="00C57B8A" w:rsidTr="00D75A28">
        <w:trPr>
          <w:trHeight w:val="4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«Кинотеатр «Знамя»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438,6</w:t>
            </w:r>
          </w:p>
        </w:tc>
      </w:tr>
      <w:tr w:rsidR="00C01C86" w:rsidRPr="00C57B8A" w:rsidTr="00D75A28">
        <w:trPr>
          <w:trHeight w:val="4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«Челябинский театр современного танца»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437,8</w:t>
            </w:r>
          </w:p>
        </w:tc>
      </w:tr>
      <w:tr w:rsidR="00C01C86" w:rsidRPr="00C57B8A" w:rsidTr="00D75A28">
        <w:trPr>
          <w:trHeight w:val="4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 «Металлург»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435,6</w:t>
            </w:r>
          </w:p>
        </w:tc>
      </w:tr>
      <w:tr w:rsidR="00C01C86" w:rsidRPr="00C57B8A" w:rsidTr="00D75A28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«Челябинский Центр искусств «Театр + Кино»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C01C86" w:rsidRPr="00C57B8A" w:rsidTr="00D75A28">
        <w:trPr>
          <w:trHeight w:val="4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«Новый художественный театр»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C01C86" w:rsidRPr="00C57B8A" w:rsidTr="00D75A28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«Энергетик»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422,8</w:t>
            </w:r>
          </w:p>
        </w:tc>
      </w:tr>
      <w:tr w:rsidR="00C01C86" w:rsidRPr="00C57B8A" w:rsidTr="00D75A28">
        <w:trPr>
          <w:trHeight w:val="4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«Кино-театральное объединение «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Кировец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</w:tr>
      <w:tr w:rsidR="00C01C86" w:rsidRPr="00C57B8A" w:rsidTr="00D75A28">
        <w:trPr>
          <w:trHeight w:val="4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культуры  «Сосновка»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419,8</w:t>
            </w:r>
          </w:p>
        </w:tc>
      </w:tr>
      <w:tr w:rsidR="00C01C86" w:rsidRPr="00C57B8A" w:rsidTr="00D75A28">
        <w:trPr>
          <w:trHeight w:val="4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 «Новосел»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405,4</w:t>
            </w:r>
          </w:p>
        </w:tc>
      </w:tr>
      <w:tr w:rsidR="00C01C86" w:rsidRPr="00C57B8A" w:rsidTr="00D75A28">
        <w:trPr>
          <w:trHeight w:val="4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«Челябинский центр искусств»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376,8</w:t>
            </w:r>
          </w:p>
        </w:tc>
      </w:tr>
      <w:tr w:rsidR="00C01C86" w:rsidRPr="00C57B8A" w:rsidTr="00D75A28">
        <w:trPr>
          <w:trHeight w:val="5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«Центральный парк культуры и отдыха им. Ю.А. Гагарина»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370,9</w:t>
            </w:r>
          </w:p>
        </w:tc>
      </w:tr>
      <w:tr w:rsidR="00C01C86" w:rsidRPr="00C57B8A" w:rsidTr="00D75A2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историко-культурного наследия г. Челябинска»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</w:t>
            </w:r>
          </w:p>
        </w:tc>
      </w:tr>
      <w:tr w:rsidR="00C01C86" w:rsidRPr="00C57B8A" w:rsidTr="00D75A28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сад им. </w:t>
            </w:r>
            <w:proofErr w:type="spellStart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C01C86" w:rsidRPr="00C57B8A" w:rsidTr="00D75A28">
        <w:trPr>
          <w:trHeight w:val="3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«Сад Победы»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</w:t>
            </w:r>
          </w:p>
        </w:tc>
      </w:tr>
    </w:tbl>
    <w:p w:rsidR="00DC5199" w:rsidRDefault="00DC5199" w:rsidP="00DC51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199" w:rsidRDefault="00DC5199" w:rsidP="00DC51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56F2C">
        <w:rPr>
          <w:rFonts w:ascii="Times New Roman" w:hAnsi="Times New Roman" w:cs="Times New Roman"/>
          <w:sz w:val="28"/>
          <w:szCs w:val="28"/>
        </w:rPr>
        <w:t xml:space="preserve">чреждения культуры Челябинского городского округа могут быть отнесены к максимально разнообразным типам работы, что, в свою очередь, влияет на значительный «разброс» полученных показателей. </w:t>
      </w:r>
      <w:r>
        <w:rPr>
          <w:rFonts w:ascii="Times New Roman" w:hAnsi="Times New Roman" w:cs="Times New Roman"/>
          <w:sz w:val="28"/>
          <w:szCs w:val="28"/>
        </w:rPr>
        <w:t>Кроме того</w:t>
      </w:r>
      <w:r w:rsidRPr="00C56F2C">
        <w:rPr>
          <w:rFonts w:ascii="Times New Roman" w:hAnsi="Times New Roman" w:cs="Times New Roman"/>
          <w:sz w:val="28"/>
          <w:szCs w:val="28"/>
        </w:rPr>
        <w:t xml:space="preserve">, не все учреждения рассчитаны на публичные досуговые формы работы с населением (что может </w:t>
      </w:r>
      <w:r>
        <w:rPr>
          <w:rFonts w:ascii="Times New Roman" w:hAnsi="Times New Roman" w:cs="Times New Roman"/>
          <w:sz w:val="28"/>
          <w:szCs w:val="28"/>
        </w:rPr>
        <w:t>не всегда соответствовать оценке по установленным критериям</w:t>
      </w:r>
      <w:r w:rsidRPr="00C56F2C">
        <w:rPr>
          <w:rFonts w:ascii="Times New Roman" w:hAnsi="Times New Roman" w:cs="Times New Roman"/>
          <w:sz w:val="28"/>
          <w:szCs w:val="28"/>
        </w:rPr>
        <w:t xml:space="preserve">), кроме того, челябинская аудитория (живущая в ситуации большого выбора и конкуренции учреждений) </w:t>
      </w:r>
      <w:r>
        <w:rPr>
          <w:rFonts w:ascii="Times New Roman" w:hAnsi="Times New Roman" w:cs="Times New Roman"/>
          <w:sz w:val="28"/>
          <w:szCs w:val="28"/>
        </w:rPr>
        <w:t>относится к</w:t>
      </w:r>
      <w:r w:rsidRPr="00C56F2C">
        <w:rPr>
          <w:rFonts w:ascii="Times New Roman" w:hAnsi="Times New Roman" w:cs="Times New Roman"/>
          <w:sz w:val="28"/>
          <w:szCs w:val="28"/>
        </w:rPr>
        <w:t xml:space="preserve"> наиболее взыскательн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56F2C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6F2C">
        <w:rPr>
          <w:rFonts w:ascii="Times New Roman" w:hAnsi="Times New Roman" w:cs="Times New Roman"/>
          <w:sz w:val="28"/>
          <w:szCs w:val="28"/>
        </w:rPr>
        <w:t xml:space="preserve"> потребителя услуг, что также влияет на полученные показатели (снижает их). </w:t>
      </w:r>
    </w:p>
    <w:p w:rsidR="00DC5199" w:rsidRDefault="00DC5199" w:rsidP="00DC5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F2C">
        <w:rPr>
          <w:rFonts w:ascii="Times New Roman" w:hAnsi="Times New Roman" w:cs="Times New Roman"/>
          <w:sz w:val="28"/>
          <w:szCs w:val="28"/>
        </w:rPr>
        <w:t>Кроме того, в нескольких учреждениях (</w:t>
      </w:r>
      <w:r w:rsidRPr="00C5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учреждение «Новый художественный театр», Муниципальное автономное учреждение культуры «</w:t>
      </w:r>
      <w:proofErr w:type="gramStart"/>
      <w:r w:rsidRPr="00C5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Кино-театральное</w:t>
      </w:r>
      <w:proofErr w:type="gramEnd"/>
      <w:r w:rsidRPr="00C5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«</w:t>
      </w:r>
      <w:proofErr w:type="spellStart"/>
      <w:r w:rsidRPr="00C5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Кировец</w:t>
      </w:r>
      <w:proofErr w:type="spellEnd"/>
      <w:r w:rsidRPr="00C5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Муниципальное бюджетное учреждение культуры «Киноцентр «Импульс») на момент проведения независимой оценки шел капитальный ремонт,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заметно корректировало полученные показатели. Два учреждения, набравшие наименьшие показатели не предоставили достаточной информации для оценивания. </w:t>
      </w:r>
    </w:p>
    <w:p w:rsidR="00DC5199" w:rsidRDefault="00DC5199" w:rsidP="00DC5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199" w:rsidRPr="00C56F2C" w:rsidRDefault="00DC5199" w:rsidP="00DC5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C86" w:rsidRPr="00C01C86" w:rsidRDefault="00C01C86" w:rsidP="00C01C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C86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C01C86">
        <w:rPr>
          <w:rFonts w:ascii="Times New Roman" w:hAnsi="Times New Roman" w:cs="Times New Roman"/>
          <w:b/>
          <w:i/>
          <w:sz w:val="28"/>
          <w:szCs w:val="28"/>
        </w:rPr>
        <w:t xml:space="preserve">. Распределение результатов по территориям </w:t>
      </w: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14. </w:t>
      </w:r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Чесменский муниципальный район</w:t>
      </w: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653"/>
        <w:gridCol w:w="6722"/>
        <w:gridCol w:w="1599"/>
      </w:tblGrid>
      <w:tr w:rsidR="00C01C86" w:rsidRPr="008107C3" w:rsidTr="00D75A28">
        <w:trPr>
          <w:trHeight w:val="6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43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Чесменского муниципального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461,8</w:t>
            </w:r>
          </w:p>
        </w:tc>
      </w:tr>
      <w:tr w:rsidR="00C01C86" w:rsidRPr="00C57B8A" w:rsidTr="00D75A28">
        <w:trPr>
          <w:trHeight w:val="4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«Чесменский Историко-краеведческий музей им. А.Н. Беликова»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434,2</w:t>
            </w:r>
          </w:p>
        </w:tc>
      </w:tr>
      <w:tr w:rsidR="00C01C86" w:rsidRPr="00C57B8A" w:rsidTr="00D75A28">
        <w:trPr>
          <w:trHeight w:val="43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Чесменского муниципального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391,3</w:t>
            </w:r>
          </w:p>
        </w:tc>
      </w:tr>
    </w:tbl>
    <w:p w:rsidR="00C01C86" w:rsidRPr="00C57B8A" w:rsidRDefault="00C01C86" w:rsidP="00C01C8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Pr="00D75A28" w:rsidRDefault="00D75A28" w:rsidP="00D75A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15. </w:t>
      </w:r>
      <w:proofErr w:type="spellStart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Южноуральский</w:t>
      </w:r>
      <w:proofErr w:type="spellEnd"/>
      <w:r w:rsidR="00C01C86" w:rsidRPr="00D75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округ</w:t>
      </w: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660"/>
        <w:gridCol w:w="6613"/>
        <w:gridCol w:w="1427"/>
      </w:tblGrid>
      <w:tr w:rsidR="00C01C86" w:rsidRPr="008107C3" w:rsidTr="00D75A2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86" w:rsidRPr="008107C3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7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C01C86" w:rsidRPr="00C57B8A" w:rsidTr="00D75A28">
        <w:trPr>
          <w:trHeight w:val="2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431,9</w:t>
            </w:r>
          </w:p>
        </w:tc>
      </w:tr>
      <w:tr w:rsidR="00C01C86" w:rsidRPr="00C57B8A" w:rsidTr="00D75A28">
        <w:trPr>
          <w:trHeight w:val="3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Дом культуры»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422,6</w:t>
            </w:r>
          </w:p>
        </w:tc>
      </w:tr>
      <w:tr w:rsidR="00C01C86" w:rsidRPr="00C57B8A" w:rsidTr="00D75A28">
        <w:trPr>
          <w:trHeight w:val="4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«Городской краеведческий музей»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C01C86" w:rsidRPr="00C57B8A" w:rsidTr="00D75A28">
        <w:trPr>
          <w:trHeight w:val="4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C86" w:rsidRPr="00C57B8A" w:rsidRDefault="00C01C86" w:rsidP="00C01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399,1</w:t>
            </w:r>
          </w:p>
        </w:tc>
      </w:tr>
    </w:tbl>
    <w:p w:rsidR="00C01C86" w:rsidRPr="00C57B8A" w:rsidRDefault="00C01C86" w:rsidP="00C01C8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86" w:rsidRDefault="000F62C9" w:rsidP="00363AD7">
      <w:pPr>
        <w:pStyle w:val="a4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2C9">
        <w:rPr>
          <w:rFonts w:ascii="Times New Roman" w:hAnsi="Times New Roman" w:cs="Times New Roman"/>
          <w:b/>
          <w:i/>
          <w:sz w:val="28"/>
          <w:szCs w:val="28"/>
        </w:rPr>
        <w:t xml:space="preserve">Слайд №21.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Лидирующие учреждения по всем территориям </w:t>
      </w:r>
    </w:p>
    <w:p w:rsidR="001B426D" w:rsidRDefault="000F62C9" w:rsidP="001B426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6D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</w:t>
      </w:r>
      <w:r w:rsidR="001B426D" w:rsidRPr="001B426D">
        <w:rPr>
          <w:rFonts w:ascii="Times New Roman" w:hAnsi="Times New Roman" w:cs="Times New Roman"/>
          <w:sz w:val="28"/>
          <w:szCs w:val="28"/>
        </w:rPr>
        <w:t xml:space="preserve">те учреждения, которые набрали наибольшее количество баллов по итоговому показателю и вошли в число лидирующих. </w:t>
      </w:r>
      <w:r w:rsidR="001B426D">
        <w:rPr>
          <w:rFonts w:ascii="Times New Roman" w:hAnsi="Times New Roman" w:cs="Times New Roman"/>
          <w:sz w:val="28"/>
          <w:szCs w:val="28"/>
        </w:rPr>
        <w:t xml:space="preserve">К таким учреждениям можно отнести следующие, представленные в таблице. </w:t>
      </w:r>
    </w:p>
    <w:p w:rsidR="001B426D" w:rsidRPr="001B426D" w:rsidRDefault="001B426D" w:rsidP="001B426D">
      <w:pPr>
        <w:widowControl w:val="0"/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426D">
        <w:rPr>
          <w:rFonts w:ascii="Times New Roman" w:hAnsi="Times New Roman" w:cs="Times New Roman"/>
          <w:sz w:val="24"/>
          <w:szCs w:val="24"/>
        </w:rPr>
        <w:t xml:space="preserve">Таблица №16. Лидирующие учреждения Челябинской области (наивысший балл) </w:t>
      </w:r>
    </w:p>
    <w:tbl>
      <w:tblPr>
        <w:tblW w:w="9034" w:type="dxa"/>
        <w:jc w:val="center"/>
        <w:tblLook w:val="04A0" w:firstRow="1" w:lastRow="0" w:firstColumn="1" w:lastColumn="0" w:noHBand="0" w:noVBand="1"/>
      </w:tblPr>
      <w:tblGrid>
        <w:gridCol w:w="694"/>
        <w:gridCol w:w="7015"/>
        <w:gridCol w:w="1325"/>
      </w:tblGrid>
      <w:tr w:rsidR="001B426D" w:rsidRPr="00B9460A" w:rsidTr="001B426D">
        <w:trPr>
          <w:trHeight w:val="88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6C24CC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6C24CC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6C24CC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B426D" w:rsidRPr="00B9460A" w:rsidTr="001B426D">
        <w:trPr>
          <w:trHeight w:val="6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города Троицка» (Троицкий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484,8</w:t>
            </w:r>
          </w:p>
        </w:tc>
      </w:tr>
      <w:tr w:rsidR="001B426D" w:rsidRPr="00B9460A" w:rsidTr="001B426D">
        <w:trPr>
          <w:trHeight w:val="60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библиотека» (Трехгорный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1B426D" w:rsidRPr="00B9460A" w:rsidTr="001B426D">
        <w:trPr>
          <w:trHeight w:val="56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детская библиотека имени Сергея Тимофеевича Аксакова» (Трехгорный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1B426D" w:rsidRPr="00B9460A" w:rsidTr="001B426D">
        <w:trPr>
          <w:trHeight w:val="521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досуга «Строитель»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Миасский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472,8</w:t>
            </w:r>
          </w:p>
        </w:tc>
      </w:tr>
      <w:tr w:rsidR="001B426D" w:rsidRPr="00B9460A" w:rsidTr="001B426D">
        <w:trPr>
          <w:trHeight w:val="416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«Городская библиотека»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471,4</w:t>
            </w:r>
          </w:p>
        </w:tc>
      </w:tr>
      <w:tr w:rsidR="001B426D" w:rsidRPr="00B9460A" w:rsidTr="001B426D">
        <w:trPr>
          <w:trHeight w:val="67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музей» 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  <w:tr w:rsidR="001B426D" w:rsidRPr="00B9460A" w:rsidTr="001B426D">
        <w:trPr>
          <w:trHeight w:val="67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  <w:tr w:rsidR="001B426D" w:rsidRPr="00B9460A" w:rsidTr="001B426D">
        <w:trPr>
          <w:trHeight w:val="62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Коркинского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467,9</w:t>
            </w:r>
          </w:p>
        </w:tc>
      </w:tr>
      <w:tr w:rsidR="001B426D" w:rsidRPr="00B9460A" w:rsidTr="001B426D">
        <w:trPr>
          <w:trHeight w:val="58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 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466,8</w:t>
            </w:r>
          </w:p>
        </w:tc>
      </w:tr>
      <w:tr w:rsidR="001B426D" w:rsidRPr="00B9460A" w:rsidTr="001B426D">
        <w:trPr>
          <w:trHeight w:val="68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библиотечная система»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466,4</w:t>
            </w:r>
          </w:p>
        </w:tc>
      </w:tr>
      <w:tr w:rsidR="001B426D" w:rsidRPr="00B9460A" w:rsidTr="001B426D">
        <w:trPr>
          <w:trHeight w:val="62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«Выставочный зал «Колорит»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465,1</w:t>
            </w:r>
          </w:p>
        </w:tc>
      </w:tr>
      <w:tr w:rsidR="001B426D" w:rsidRPr="00B9460A" w:rsidTr="001B426D">
        <w:trPr>
          <w:trHeight w:val="691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Чесменского муниципального района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461,8</w:t>
            </w:r>
          </w:p>
        </w:tc>
      </w:tr>
      <w:tr w:rsidR="001B426D" w:rsidRPr="00B9460A" w:rsidTr="001B426D">
        <w:trPr>
          <w:trHeight w:val="55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 (Челябинский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459,1</w:t>
            </w:r>
          </w:p>
        </w:tc>
      </w:tr>
      <w:tr w:rsidR="001B426D" w:rsidRPr="00B9460A" w:rsidTr="001B426D">
        <w:trPr>
          <w:trHeight w:val="64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455,7</w:t>
            </w:r>
          </w:p>
        </w:tc>
      </w:tr>
      <w:tr w:rsidR="001B426D" w:rsidRPr="00B9460A" w:rsidTr="001B426D">
        <w:trPr>
          <w:trHeight w:val="60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(Кыштымский городской округ)                                    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455,4</w:t>
            </w:r>
          </w:p>
        </w:tc>
      </w:tr>
      <w:tr w:rsidR="001B426D" w:rsidRPr="00B9460A" w:rsidTr="001B426D">
        <w:trPr>
          <w:trHeight w:val="69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 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 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453,4</w:t>
            </w:r>
          </w:p>
        </w:tc>
      </w:tr>
      <w:tr w:rsidR="001B426D" w:rsidRPr="00B9460A" w:rsidTr="001B426D">
        <w:trPr>
          <w:trHeight w:val="38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  (Челябинский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451,9</w:t>
            </w:r>
          </w:p>
        </w:tc>
      </w:tr>
      <w:tr w:rsidR="001B426D" w:rsidRPr="00B9460A" w:rsidTr="001B426D">
        <w:trPr>
          <w:trHeight w:val="481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Озерского городского округа «Культурно-досуговый центр»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</w:tr>
      <w:tr w:rsidR="001B426D" w:rsidRPr="00B9460A" w:rsidTr="001B426D">
        <w:trPr>
          <w:trHeight w:val="70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система» (Кыштымский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450,8</w:t>
            </w:r>
          </w:p>
        </w:tc>
      </w:tr>
      <w:tr w:rsidR="001B426D" w:rsidRPr="00B9460A" w:rsidTr="001B426D">
        <w:trPr>
          <w:trHeight w:val="69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культуры Первомайского городского поселения» (</w:t>
            </w:r>
            <w:proofErr w:type="spellStart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Коркинский</w:t>
            </w:r>
            <w:proofErr w:type="spellEnd"/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</w:t>
            </w:r>
          </w:p>
        </w:tc>
      </w:tr>
      <w:tr w:rsidR="001B426D" w:rsidRPr="00B9460A" w:rsidTr="001B426D">
        <w:trPr>
          <w:trHeight w:val="652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система детских библиотек»  (Челябинский городской округ)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B9460A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449,9</w:t>
            </w:r>
          </w:p>
        </w:tc>
      </w:tr>
    </w:tbl>
    <w:p w:rsidR="002C0AB1" w:rsidRDefault="002C0AB1" w:rsidP="001B426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426D" w:rsidRPr="001B426D" w:rsidRDefault="001B426D" w:rsidP="001B426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6D">
        <w:rPr>
          <w:rFonts w:ascii="Times New Roman" w:hAnsi="Times New Roman" w:cs="Times New Roman"/>
          <w:b/>
          <w:i/>
          <w:sz w:val="28"/>
          <w:szCs w:val="28"/>
        </w:rPr>
        <w:t xml:space="preserve">Слайд №22. Лидирующие учреждения по типам  </w:t>
      </w:r>
    </w:p>
    <w:p w:rsidR="001B426D" w:rsidRDefault="001B426D" w:rsidP="001B42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отдельно может быть представлено сравнительное ранжирование учреждений в разрезе муниципальных образований и </w:t>
      </w:r>
      <w:r w:rsidRPr="00073580">
        <w:rPr>
          <w:rFonts w:ascii="Times New Roman" w:hAnsi="Times New Roman" w:cs="Times New Roman"/>
          <w:sz w:val="28"/>
          <w:szCs w:val="28"/>
        </w:rPr>
        <w:t>организационно-правовых форм, и типов организаций (учреждений)</w:t>
      </w:r>
      <w:r>
        <w:rPr>
          <w:rFonts w:ascii="Times New Roman" w:hAnsi="Times New Roman" w:cs="Times New Roman"/>
          <w:sz w:val="28"/>
          <w:szCs w:val="28"/>
        </w:rPr>
        <w:t xml:space="preserve">. Организаций культуры, предоставляющие услуги населению, были разделены на следующие типы: библиотеки, культурно-досуговые учреждения, музеи, парки культуры и отдыха, театры, иные типы учреждений. </w:t>
      </w:r>
    </w:p>
    <w:p w:rsidR="001B426D" w:rsidRDefault="001B426D" w:rsidP="001B426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представлены таблицы, в которых отражены учреждения-лидеры по каждому типу. </w:t>
      </w:r>
    </w:p>
    <w:p w:rsidR="00DC5199" w:rsidRDefault="00DC5199" w:rsidP="001B426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1B426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1B426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426D" w:rsidRPr="001B426D" w:rsidRDefault="001B426D" w:rsidP="001B426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B426D">
        <w:rPr>
          <w:rFonts w:ascii="Times New Roman" w:hAnsi="Times New Roman" w:cs="Times New Roman"/>
          <w:sz w:val="24"/>
          <w:szCs w:val="24"/>
        </w:rPr>
        <w:lastRenderedPageBreak/>
        <w:t>Таблица 17. Библиотеки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8"/>
        <w:gridCol w:w="7298"/>
        <w:gridCol w:w="1325"/>
      </w:tblGrid>
      <w:tr w:rsidR="001B426D" w:rsidRPr="00341D81" w:rsidTr="002C0AB1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B426D" w:rsidRPr="00341D81" w:rsidTr="002C0AB1">
        <w:trPr>
          <w:trHeight w:val="5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библиотечная система города Троицка» (Троицкий городской округ)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484,8</w:t>
            </w:r>
          </w:p>
        </w:tc>
      </w:tr>
      <w:tr w:rsidR="001B426D" w:rsidRPr="00341D81" w:rsidTr="002C0AB1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библиотека» (Трехгорный городской округ)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1B426D" w:rsidRPr="00341D81" w:rsidTr="002C0AB1">
        <w:trPr>
          <w:trHeight w:val="5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«Центральная городская детская библиотека имени Сергея Тимофеевича Аксакова» (Трехгорный городской округ)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1B426D" w:rsidRPr="00341D81" w:rsidTr="002C0AB1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«Городская библиотека»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471,4</w:t>
            </w:r>
          </w:p>
        </w:tc>
      </w:tr>
      <w:tr w:rsidR="001B426D" w:rsidRPr="00341D81" w:rsidTr="002C0AB1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«Централизованная библиотечная система»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</w:tbl>
    <w:p w:rsidR="001B426D" w:rsidRDefault="001B426D" w:rsidP="001B4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26D" w:rsidRPr="001B426D" w:rsidRDefault="001B426D" w:rsidP="001B4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426D">
        <w:rPr>
          <w:rFonts w:ascii="Times New Roman" w:hAnsi="Times New Roman" w:cs="Times New Roman"/>
          <w:sz w:val="24"/>
          <w:szCs w:val="24"/>
        </w:rPr>
        <w:t>Таблица 17. Культурно-досуговые учреждения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40"/>
        <w:gridCol w:w="7300"/>
        <w:gridCol w:w="1420"/>
      </w:tblGrid>
      <w:tr w:rsidR="001B426D" w:rsidRPr="00341D81" w:rsidTr="002C0AB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B426D" w:rsidRPr="00341D81" w:rsidTr="001B426D">
        <w:trPr>
          <w:trHeight w:val="4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досуга «Строитель»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Миасский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472,8</w:t>
            </w:r>
          </w:p>
        </w:tc>
      </w:tr>
      <w:tr w:rsidR="001B426D" w:rsidRPr="00341D81" w:rsidTr="001B426D">
        <w:trPr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МКУК 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«Централизованная клубная система»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455,7</w:t>
            </w:r>
          </w:p>
        </w:tc>
      </w:tr>
      <w:tr w:rsidR="001B426D" w:rsidRPr="00341D81" w:rsidTr="001B426D">
        <w:trPr>
          <w:trHeight w:val="4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«Централизованная клубная система» (Кыштымский городской округ) </w:t>
            </w:r>
          </w:p>
          <w:p w:rsidR="001B426D" w:rsidRPr="00341D81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455,4</w:t>
            </w:r>
          </w:p>
        </w:tc>
      </w:tr>
      <w:tr w:rsidR="001B426D" w:rsidRPr="00341D81" w:rsidTr="001B426D">
        <w:trPr>
          <w:trHeight w:val="4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«Культурно-досуговый центр» </w:t>
            </w:r>
          </w:p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</w:tr>
      <w:tr w:rsidR="001B426D" w:rsidRPr="00341D81" w:rsidTr="001B426D">
        <w:trPr>
          <w:trHeight w:val="5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Default="001B426D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культуры Первомайского городского поселения»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6D" w:rsidRPr="00341D81" w:rsidRDefault="001B426D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</w:t>
            </w:r>
          </w:p>
        </w:tc>
      </w:tr>
    </w:tbl>
    <w:p w:rsidR="00DC5199" w:rsidRDefault="00DC5199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3D10" w:rsidRDefault="001B426D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6D">
        <w:rPr>
          <w:rFonts w:ascii="Times New Roman" w:hAnsi="Times New Roman" w:cs="Times New Roman"/>
          <w:b/>
          <w:i/>
          <w:sz w:val="28"/>
          <w:szCs w:val="28"/>
        </w:rPr>
        <w:t>Слайд №2</w:t>
      </w:r>
      <w:r w:rsidR="0038550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B426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Лидирующие учреждения по типам </w:t>
      </w:r>
    </w:p>
    <w:p w:rsidR="0038550B" w:rsidRP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50B">
        <w:rPr>
          <w:rFonts w:ascii="Times New Roman" w:hAnsi="Times New Roman" w:cs="Times New Roman"/>
          <w:sz w:val="24"/>
          <w:szCs w:val="24"/>
        </w:rPr>
        <w:t xml:space="preserve">Таблица 18. Музеи 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40"/>
        <w:gridCol w:w="7300"/>
        <w:gridCol w:w="1420"/>
      </w:tblGrid>
      <w:tr w:rsidR="0038550B" w:rsidRPr="00341D81" w:rsidTr="002C0AB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38550B" w:rsidRPr="00341D81" w:rsidTr="0038550B">
        <w:trPr>
          <w:trHeight w:val="4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музей» 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</w:tr>
      <w:tr w:rsidR="0038550B" w:rsidRPr="00341D81" w:rsidTr="0038550B">
        <w:trPr>
          <w:trHeight w:val="2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«Выставочный зал «Колорит»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465,1</w:t>
            </w:r>
          </w:p>
        </w:tc>
      </w:tr>
      <w:tr w:rsidR="0038550B" w:rsidRPr="00341D81" w:rsidTr="0038550B">
        <w:trPr>
          <w:trHeight w:val="4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«Краеведческий музей»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443,2</w:t>
            </w:r>
          </w:p>
        </w:tc>
      </w:tr>
      <w:tr w:rsidR="0038550B" w:rsidRPr="00341D81" w:rsidTr="0038550B">
        <w:trPr>
          <w:trHeight w:val="4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«Историко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-краеведческий музей»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</w:tr>
      <w:tr w:rsidR="0038550B" w:rsidRPr="00341D81" w:rsidTr="0038550B">
        <w:trPr>
          <w:trHeight w:val="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«Чесменский Историко-краеведческий музей им. А.Н. Беликова»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434,2</w:t>
            </w:r>
          </w:p>
        </w:tc>
      </w:tr>
    </w:tbl>
    <w:p w:rsid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199" w:rsidRDefault="00DC5199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550B" w:rsidRP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50B">
        <w:rPr>
          <w:rFonts w:ascii="Times New Roman" w:hAnsi="Times New Roman" w:cs="Times New Roman"/>
          <w:sz w:val="24"/>
          <w:szCs w:val="24"/>
        </w:rPr>
        <w:lastRenderedPageBreak/>
        <w:t>Таблица 19. Театры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40"/>
        <w:gridCol w:w="7300"/>
        <w:gridCol w:w="1420"/>
      </w:tblGrid>
      <w:tr w:rsidR="0038550B" w:rsidRPr="008F33E7" w:rsidTr="00211DCC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38550B" w:rsidRPr="00341D81" w:rsidTr="002C0AB1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Озёрский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 драмы и комедии «Наш дом»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38550B" w:rsidRPr="00341D81" w:rsidTr="0038550B">
        <w:trPr>
          <w:trHeight w:val="5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«Челябинский театр современного танца»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437,8</w:t>
            </w:r>
          </w:p>
        </w:tc>
      </w:tr>
      <w:tr w:rsidR="0038550B" w:rsidRPr="00341D81" w:rsidTr="0038550B">
        <w:trPr>
          <w:trHeight w:val="3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«Новый художественный театр»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38550B" w:rsidRPr="00341D81" w:rsidTr="0038550B">
        <w:trPr>
          <w:trHeight w:val="2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 кукол «Золотой петушок»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407,4</w:t>
            </w:r>
          </w:p>
        </w:tc>
      </w:tr>
    </w:tbl>
    <w:p w:rsidR="002C0AB1" w:rsidRDefault="002C0AB1" w:rsidP="0038550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550B" w:rsidRDefault="0038550B" w:rsidP="0038550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426D">
        <w:rPr>
          <w:rFonts w:ascii="Times New Roman" w:hAnsi="Times New Roman" w:cs="Times New Roman"/>
          <w:b/>
          <w:i/>
          <w:sz w:val="28"/>
          <w:szCs w:val="28"/>
        </w:rPr>
        <w:t>Слайд №2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B426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Лидирующие учреждения по типам </w:t>
      </w:r>
    </w:p>
    <w:p w:rsidR="0038550B" w:rsidRP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50B">
        <w:rPr>
          <w:rFonts w:ascii="Times New Roman" w:hAnsi="Times New Roman" w:cs="Times New Roman"/>
          <w:sz w:val="24"/>
          <w:szCs w:val="24"/>
        </w:rPr>
        <w:t>Таблица 20. Парки культуры и отдыха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40"/>
        <w:gridCol w:w="7300"/>
        <w:gridCol w:w="1420"/>
      </w:tblGrid>
      <w:tr w:rsidR="0038550B" w:rsidRPr="00341D81" w:rsidTr="002C0AB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38550B" w:rsidRPr="00341D81" w:rsidTr="0038550B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 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Пластовского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 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453,4</w:t>
            </w:r>
          </w:p>
        </w:tc>
      </w:tr>
      <w:tr w:rsidR="0038550B" w:rsidRPr="00341D81" w:rsidTr="002C0AB1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 «Металлург»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435,6</w:t>
            </w:r>
          </w:p>
        </w:tc>
      </w:tr>
      <w:tr w:rsidR="0038550B" w:rsidRPr="00341D81" w:rsidTr="002C0AB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 «Парк культуры и отдыха» (</w:t>
            </w:r>
            <w:proofErr w:type="spellStart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399,1</w:t>
            </w:r>
          </w:p>
        </w:tc>
      </w:tr>
      <w:tr w:rsidR="0038550B" w:rsidRPr="00341D81" w:rsidTr="002C0AB1">
        <w:trPr>
          <w:trHeight w:val="6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«Центральный парк культуры и отдыха им. Ю.А. Гагарина»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370,9</w:t>
            </w:r>
          </w:p>
        </w:tc>
      </w:tr>
      <w:tr w:rsidR="0038550B" w:rsidRPr="00341D81" w:rsidTr="002C0AB1">
        <w:trPr>
          <w:trHeight w:val="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Культуры и Отдыха»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366,9</w:t>
            </w:r>
          </w:p>
        </w:tc>
      </w:tr>
    </w:tbl>
    <w:p w:rsid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550B" w:rsidRPr="0038550B" w:rsidRDefault="0038550B" w:rsidP="003855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50B">
        <w:rPr>
          <w:rFonts w:ascii="Times New Roman" w:hAnsi="Times New Roman" w:cs="Times New Roman"/>
          <w:sz w:val="24"/>
          <w:szCs w:val="24"/>
        </w:rPr>
        <w:t xml:space="preserve">Таблица 21. Иные типы учреждений 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40"/>
        <w:gridCol w:w="7300"/>
        <w:gridCol w:w="1420"/>
      </w:tblGrid>
      <w:tr w:rsidR="0038550B" w:rsidRPr="008F33E7" w:rsidTr="002C0AB1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0B" w:rsidRPr="008F33E7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33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38550B" w:rsidRPr="00341D81" w:rsidTr="002C0AB1">
        <w:trPr>
          <w:trHeight w:val="3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«Зоопарк»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451,9</w:t>
            </w:r>
          </w:p>
        </w:tc>
      </w:tr>
      <w:tr w:rsidR="0038550B" w:rsidRPr="00341D81" w:rsidTr="002C0AB1">
        <w:trPr>
          <w:trHeight w:val="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культурно-информационной деятельности»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440,8</w:t>
            </w:r>
          </w:p>
        </w:tc>
      </w:tr>
      <w:tr w:rsidR="0038550B" w:rsidRPr="00341D81" w:rsidTr="002C0AB1">
        <w:trPr>
          <w:trHeight w:val="4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«Киноцентр «Импульс»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</w:tr>
      <w:tr w:rsidR="0038550B" w:rsidRPr="00341D81" w:rsidTr="002C0AB1">
        <w:trPr>
          <w:trHeight w:val="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«Кинотеатр «Знамя»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438,6</w:t>
            </w:r>
          </w:p>
        </w:tc>
      </w:tr>
      <w:tr w:rsidR="0038550B" w:rsidRPr="00341D81" w:rsidTr="002C0AB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</w:t>
            </w: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«Челябинский Центр искусств «Театр + Кино»  (Челябинский городской округ)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0B" w:rsidRPr="00341D81" w:rsidRDefault="0038550B" w:rsidP="002C0A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</w:tbl>
    <w:p w:rsidR="00DC5199" w:rsidRDefault="00DC5199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550B" w:rsidRDefault="00211DCC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№25. Выводы исследования 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9C8">
        <w:rPr>
          <w:rFonts w:ascii="Times New Roman" w:hAnsi="Times New Roman" w:cs="Times New Roman"/>
          <w:sz w:val="28"/>
          <w:szCs w:val="28"/>
        </w:rPr>
        <w:t>Независимая оценка является одним из возможных инструментов фиксации как успешности развития сферы культуры</w:t>
      </w:r>
      <w:r>
        <w:rPr>
          <w:rFonts w:ascii="Times New Roman" w:hAnsi="Times New Roman" w:cs="Times New Roman"/>
          <w:sz w:val="28"/>
          <w:szCs w:val="28"/>
        </w:rPr>
        <w:t xml:space="preserve"> региона (и конкретных учреждений)</w:t>
      </w:r>
      <w:r w:rsidRPr="005169C8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>выявления основных недостатков и проблем, с которыми сталкиваются получатели услуг.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ранжировании организаций, было зафиксировано следующее распределение: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- 20 учреждений – отнесены к типу лидирующих;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- 50 учреждений – к типу оптимально функционирующих; 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учреждений – к типу стабильно развивающихся;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учреждения – к типу нуждающихся в оптимизации работы.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учреждениях культуры либо отсутствуют проблемы с оказанием качественных услуг населению (лидирующий тип), либо наблюдаются несущественные недоработки по отдельным показателям оценки (оптимально функционирующий тип), либо – при удовлетворении ключевых позиций качественной работы учреждения, присутствуют некоторые недостатки (стабильно развивающийся тип). 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три учреждения культуры </w:t>
      </w:r>
      <w:r w:rsidRPr="00CE6177">
        <w:rPr>
          <w:rFonts w:ascii="Times New Roman" w:hAnsi="Times New Roman" w:cs="Times New Roman"/>
          <w:sz w:val="28"/>
          <w:szCs w:val="28"/>
        </w:rPr>
        <w:t>(</w:t>
      </w:r>
      <w:r w:rsidRPr="00CE6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МАУ «Городской сад им. А. С. Пушкина», МАУ «Сад Победы», МУ «Кыштымский историко-революционный музей») </w:t>
      </w:r>
      <w:r w:rsidRPr="00CE6177">
        <w:rPr>
          <w:rFonts w:ascii="Times New Roman" w:hAnsi="Times New Roman" w:cs="Times New Roman"/>
          <w:sz w:val="28"/>
          <w:szCs w:val="28"/>
        </w:rPr>
        <w:t>были отнесены к типу, обозначенному как</w:t>
      </w:r>
      <w:r w:rsidRPr="005939BA">
        <w:rPr>
          <w:rFonts w:ascii="Times New Roman" w:hAnsi="Times New Roman" w:cs="Times New Roman"/>
          <w:sz w:val="28"/>
          <w:szCs w:val="28"/>
        </w:rPr>
        <w:t xml:space="preserve"> «нуждающиеся в оптимизации работы». В </w:t>
      </w:r>
      <w:r>
        <w:rPr>
          <w:rFonts w:ascii="Times New Roman" w:hAnsi="Times New Roman" w:cs="Times New Roman"/>
          <w:sz w:val="28"/>
          <w:szCs w:val="28"/>
        </w:rPr>
        <w:t xml:space="preserve">двух первых случаях – низкие итоговые показатели оценки были связаны с не оптимально организованной процедурой доступа к необходимой информации; в случае с Кыштымским историко-краеведческим музеем – особые условия работы учреждения (с 2008 года отсутствует собственное здание). </w:t>
      </w:r>
    </w:p>
    <w:p w:rsidR="003111B8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момент проведения независимой оценки в нескольких исследуемых учреждениях культуры Челябинской области шли ремонтные работы (что также влияло на невозможность фиксации требуемых показателей):</w:t>
      </w:r>
    </w:p>
    <w:p w:rsidR="003111B8" w:rsidRPr="00763822" w:rsidRDefault="003111B8" w:rsidP="00311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22">
        <w:rPr>
          <w:rFonts w:ascii="Times New Roman" w:hAnsi="Times New Roman" w:cs="Times New Roman"/>
          <w:sz w:val="28"/>
          <w:szCs w:val="28"/>
        </w:rPr>
        <w:t xml:space="preserve">- </w:t>
      </w:r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«Дом культуры Первомайского городского поселения» (</w:t>
      </w:r>
      <w:proofErr w:type="spellStart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Коркинский</w:t>
      </w:r>
      <w:proofErr w:type="spellEnd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район);</w:t>
      </w:r>
    </w:p>
    <w:p w:rsidR="003111B8" w:rsidRPr="00763822" w:rsidRDefault="003111B8" w:rsidP="00311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бюджетное учреждение «Дом культуры им. Луначарского» (Троицкий городской округ);</w:t>
      </w:r>
    </w:p>
    <w:p w:rsidR="003111B8" w:rsidRPr="00763822" w:rsidRDefault="003111B8" w:rsidP="00311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автономное учреждение «Новый художественный театр» (Челябинский городской округ);</w:t>
      </w:r>
    </w:p>
    <w:p w:rsidR="003111B8" w:rsidRPr="00763822" w:rsidRDefault="003111B8" w:rsidP="003111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Муниципальное автономное учреждение культуры «</w:t>
      </w:r>
      <w:proofErr w:type="gramStart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Кино-театральное</w:t>
      </w:r>
      <w:proofErr w:type="gramEnd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«</w:t>
      </w:r>
      <w:proofErr w:type="spellStart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Кировец</w:t>
      </w:r>
      <w:proofErr w:type="spellEnd"/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(Челябинский городской округ);</w:t>
      </w:r>
    </w:p>
    <w:p w:rsidR="003111B8" w:rsidRPr="00763822" w:rsidRDefault="003111B8" w:rsidP="00311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Муниципальное бюджетное учреждение культуры «Киноцентр «Импульс» (Челябинский городской округ). </w:t>
      </w:r>
    </w:p>
    <w:p w:rsidR="003111B8" w:rsidRDefault="003111B8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1B8">
        <w:rPr>
          <w:rFonts w:ascii="Times New Roman" w:hAnsi="Times New Roman" w:cs="Times New Roman"/>
          <w:b/>
          <w:i/>
          <w:sz w:val="28"/>
          <w:szCs w:val="28"/>
        </w:rPr>
        <w:t xml:space="preserve">Слайд №26. </w:t>
      </w:r>
      <w:r>
        <w:rPr>
          <w:rFonts w:ascii="Times New Roman" w:hAnsi="Times New Roman" w:cs="Times New Roman"/>
          <w:b/>
          <w:i/>
          <w:sz w:val="28"/>
          <w:szCs w:val="28"/>
        </w:rPr>
        <w:t>Недостатки работы учреждений культуры Челябинской области</w:t>
      </w:r>
    </w:p>
    <w:p w:rsidR="002C0AB1" w:rsidRP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недостатки работы учреждений культуры Челябинской </w:t>
      </w:r>
      <w:r w:rsidRPr="002C0AB1">
        <w:rPr>
          <w:rFonts w:ascii="Times New Roman" w:hAnsi="Times New Roman" w:cs="Times New Roman"/>
          <w:sz w:val="28"/>
          <w:szCs w:val="28"/>
        </w:rPr>
        <w:t xml:space="preserve">области были связаны со следующими позициями, препятствующими именно </w:t>
      </w:r>
    </w:p>
    <w:p w:rsidR="002C0AB1" w:rsidRPr="002C0AB1" w:rsidRDefault="002C0AB1" w:rsidP="002C0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1"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Pr="002C0AB1">
        <w:rPr>
          <w:rFonts w:ascii="Times New Roman" w:hAnsi="Times New Roman" w:cs="Times New Roman"/>
          <w:i/>
          <w:sz w:val="28"/>
          <w:szCs w:val="28"/>
        </w:rPr>
        <w:t xml:space="preserve">условий </w:t>
      </w:r>
      <w:r w:rsidRPr="002C0AB1">
        <w:rPr>
          <w:rFonts w:ascii="Times New Roman" w:hAnsi="Times New Roman" w:cs="Times New Roman"/>
          <w:sz w:val="28"/>
          <w:szCs w:val="28"/>
        </w:rPr>
        <w:t>оказания услуг</w:t>
      </w:r>
      <w:r w:rsidRPr="002C0A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0AB1">
        <w:rPr>
          <w:rFonts w:ascii="Times New Roman" w:hAnsi="Times New Roman" w:cs="Times New Roman"/>
          <w:sz w:val="28"/>
          <w:szCs w:val="28"/>
        </w:rPr>
        <w:t xml:space="preserve">(подчеркнем еще раз, что в ходе исследования не оценивалось качество </w:t>
      </w:r>
      <w:r w:rsidRPr="002C0AB1">
        <w:rPr>
          <w:rFonts w:ascii="Times New Roman" w:hAnsi="Times New Roman" w:cs="Times New Roman"/>
          <w:i/>
          <w:sz w:val="28"/>
          <w:szCs w:val="28"/>
        </w:rPr>
        <w:t xml:space="preserve">содержания </w:t>
      </w:r>
      <w:r w:rsidRPr="002C0AB1">
        <w:rPr>
          <w:rFonts w:ascii="Times New Roman" w:hAnsi="Times New Roman" w:cs="Times New Roman"/>
          <w:sz w:val="28"/>
          <w:szCs w:val="28"/>
        </w:rPr>
        <w:t>оказываемых услуг):</w:t>
      </w:r>
    </w:p>
    <w:p w:rsidR="002C0AB1" w:rsidRPr="002C0AB1" w:rsidRDefault="002C0AB1" w:rsidP="002C0A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1">
        <w:rPr>
          <w:rFonts w:ascii="Times New Roman" w:hAnsi="Times New Roman" w:cs="Times New Roman"/>
          <w:sz w:val="28"/>
          <w:szCs w:val="28"/>
        </w:rPr>
        <w:t xml:space="preserve">Не в полной мере обеспеченна </w:t>
      </w:r>
      <w:r w:rsidRPr="002C0AB1">
        <w:rPr>
          <w:rFonts w:ascii="Times New Roman" w:hAnsi="Times New Roman" w:cs="Times New Roman"/>
          <w:i/>
          <w:sz w:val="28"/>
          <w:szCs w:val="28"/>
        </w:rPr>
        <w:t>доступность услуг для инвалидов</w:t>
      </w:r>
      <w:r w:rsidRPr="002C0AB1">
        <w:rPr>
          <w:rFonts w:ascii="Times New Roman" w:hAnsi="Times New Roman" w:cs="Times New Roman"/>
          <w:sz w:val="28"/>
          <w:szCs w:val="28"/>
        </w:rPr>
        <w:t xml:space="preserve"> – как в вопросах инфраструктуры, так и в информационном сопровождении. Практически в каждом учреждении отсутствуют отдельные (необходимые) показатели в оборудовании территории и здания (</w:t>
      </w:r>
      <w:r w:rsidRPr="002C0AB1">
        <w:rPr>
          <w:rFonts w:ascii="Times New Roman" w:eastAsia="Calibri" w:hAnsi="Times New Roman"/>
          <w:sz w:val="28"/>
          <w:szCs w:val="28"/>
        </w:rPr>
        <w:t>оборудование входных групп пандусами, наличие выделенных стоянок для автотранспортных средств инвалидов, наличие специально оборудованных санитарно-гигиенических помещений в организации)</w:t>
      </w:r>
      <w:r w:rsidRPr="002C0AB1">
        <w:rPr>
          <w:rFonts w:ascii="Times New Roman" w:hAnsi="Times New Roman" w:cs="Times New Roman"/>
          <w:sz w:val="28"/>
          <w:szCs w:val="28"/>
        </w:rPr>
        <w:t xml:space="preserve">, а также требуемого (дублирующего) контента: </w:t>
      </w:r>
      <w:r w:rsidRPr="002C0AB1">
        <w:rPr>
          <w:rFonts w:ascii="Times New Roman" w:eastAsia="Calibri" w:hAnsi="Times New Roman"/>
          <w:sz w:val="28"/>
          <w:szCs w:val="28"/>
        </w:rPr>
        <w:t xml:space="preserve">дублирование надписей, знаков и иной текстовой и графической информации знаками, выполненными рельефно-точечным шрифтом Брайля, возможность предоставления инвалидам по слуху (слуху и зрению) услуг </w:t>
      </w:r>
      <w:proofErr w:type="spellStart"/>
      <w:r w:rsidRPr="002C0AB1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2C0AB1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2C0AB1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2C0AB1">
        <w:rPr>
          <w:rFonts w:ascii="Times New Roman" w:eastAsia="Calibri" w:hAnsi="Times New Roman"/>
          <w:sz w:val="28"/>
          <w:szCs w:val="28"/>
        </w:rPr>
        <w:t xml:space="preserve">), наличие возможности предоставления услуги в дистанционном режиме или на дому и другое. </w:t>
      </w:r>
    </w:p>
    <w:p w:rsidR="002C0AB1" w:rsidRPr="002C0AB1" w:rsidRDefault="002C0AB1" w:rsidP="002C0A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1">
        <w:rPr>
          <w:rFonts w:ascii="Times New Roman" w:hAnsi="Times New Roman" w:cs="Times New Roman"/>
          <w:sz w:val="28"/>
          <w:szCs w:val="28"/>
        </w:rPr>
        <w:t>Не все необходимые позиции информационного освещения работы учреждения размещаются на официальном сайте (группа в социальных сетях) и информационных стендах (критерий – о</w:t>
      </w:r>
      <w:r w:rsidRPr="002C0AB1">
        <w:rPr>
          <w:rFonts w:ascii="Times New Roman" w:hAnsi="Times New Roman" w:cs="Times New Roman"/>
          <w:i/>
          <w:sz w:val="28"/>
          <w:szCs w:val="28"/>
        </w:rPr>
        <w:t>ткрытость и доступность информации об организации культуры)</w:t>
      </w:r>
      <w:r w:rsidRPr="002C0AB1">
        <w:rPr>
          <w:rFonts w:ascii="Times New Roman" w:hAnsi="Times New Roman" w:cs="Times New Roman"/>
          <w:sz w:val="28"/>
          <w:szCs w:val="28"/>
        </w:rPr>
        <w:t>. Установленный перечень требуемой информации включает конкретные параметры подачи сведений, отсутствие которых влечет снижение показателей оценки в ряде учреждений культуры.</w:t>
      </w:r>
    </w:p>
    <w:p w:rsidR="002C0AB1" w:rsidRP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0AB1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№2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C0AB1">
        <w:rPr>
          <w:rFonts w:ascii="Times New Roman" w:hAnsi="Times New Roman" w:cs="Times New Roman"/>
          <w:b/>
          <w:i/>
          <w:sz w:val="28"/>
          <w:szCs w:val="28"/>
        </w:rPr>
        <w:t>. Недостатки работы учреждений культуры Челябинской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0AB1">
        <w:rPr>
          <w:rFonts w:ascii="Times New Roman" w:hAnsi="Times New Roman" w:cs="Times New Roman"/>
          <w:i/>
          <w:sz w:val="28"/>
          <w:szCs w:val="28"/>
        </w:rPr>
        <w:t xml:space="preserve">(продолжение) </w:t>
      </w:r>
    </w:p>
    <w:p w:rsidR="002C0AB1" w:rsidRPr="002C0AB1" w:rsidRDefault="002C0AB1" w:rsidP="002C0A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B13">
        <w:rPr>
          <w:rFonts w:ascii="Times New Roman" w:hAnsi="Times New Roman" w:cs="Times New Roman"/>
          <w:sz w:val="28"/>
          <w:szCs w:val="28"/>
        </w:rPr>
        <w:t xml:space="preserve">В отдельных учреждениях не обеспечивается </w:t>
      </w:r>
      <w:r w:rsidRPr="002C0AB1">
        <w:rPr>
          <w:rFonts w:ascii="Times New Roman" w:hAnsi="Times New Roman" w:cs="Times New Roman"/>
          <w:i/>
          <w:sz w:val="28"/>
          <w:szCs w:val="28"/>
        </w:rPr>
        <w:t>критерий комфортности</w:t>
      </w:r>
      <w:r w:rsidRPr="002C0AB1">
        <w:rPr>
          <w:rFonts w:ascii="Times New Roman" w:hAnsi="Times New Roman" w:cs="Times New Roman"/>
          <w:sz w:val="28"/>
          <w:szCs w:val="28"/>
        </w:rPr>
        <w:t xml:space="preserve"> и, соответственно, фиксируется снижение доли граждан, удовлетворенных</w:t>
      </w:r>
      <w:r w:rsidRPr="002C0AB1">
        <w:rPr>
          <w:rFonts w:ascii="Times New Roman" w:eastAsia="Calibri" w:hAnsi="Times New Roman" w:cs="Times New Roman"/>
          <w:sz w:val="28"/>
          <w:szCs w:val="28"/>
        </w:rPr>
        <w:t xml:space="preserve"> комфортностью условий предоставления услуг. Помимо незначительных недостатков (</w:t>
      </w:r>
      <w:r w:rsidRPr="002C0AB1">
        <w:rPr>
          <w:rFonts w:ascii="Times New Roman" w:eastAsia="Calibri" w:hAnsi="Times New Roman"/>
          <w:sz w:val="28"/>
          <w:szCs w:val="28"/>
        </w:rPr>
        <w:t xml:space="preserve">доступность питьевой воды, наличие мыла), отмечается некомфортное состояние помещений. Так, в отдельных случаях </w:t>
      </w:r>
      <w:r w:rsidRPr="002C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самого учреждения отмечают, что большинство помещений нуждается в капитальном ремонте.</w:t>
      </w:r>
    </w:p>
    <w:p w:rsidR="002C0AB1" w:rsidRPr="009141BA" w:rsidRDefault="002C0AB1" w:rsidP="002C0AB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1">
        <w:rPr>
          <w:rFonts w:ascii="Times New Roman" w:hAnsi="Times New Roman" w:cs="Times New Roman"/>
          <w:sz w:val="28"/>
          <w:szCs w:val="28"/>
        </w:rPr>
        <w:t>В ряде учреждений недостаточно эффективно выстрое</w:t>
      </w:r>
      <w:r w:rsidRPr="00D13353">
        <w:rPr>
          <w:rFonts w:ascii="Times New Roman" w:hAnsi="Times New Roman" w:cs="Times New Roman"/>
          <w:sz w:val="28"/>
          <w:szCs w:val="28"/>
        </w:rPr>
        <w:t xml:space="preserve">на система </w:t>
      </w:r>
      <w:r w:rsidRPr="00D13353">
        <w:rPr>
          <w:rFonts w:ascii="Times New Roman" w:eastAsia="Calibri" w:hAnsi="Times New Roman"/>
          <w:sz w:val="28"/>
          <w:szCs w:val="28"/>
        </w:rPr>
        <w:t xml:space="preserve">функционирования дистанционных способов обратной связи и взаимодействия с получателями услуг: </w:t>
      </w:r>
      <w:r w:rsidRPr="009141BA">
        <w:rPr>
          <w:rFonts w:ascii="Times New Roman" w:eastAsia="Calibri" w:hAnsi="Times New Roman"/>
          <w:sz w:val="28"/>
          <w:szCs w:val="28"/>
        </w:rPr>
        <w:t xml:space="preserve">электронные сервисы подачи обращений и вопросов, техническая возможность выражения получателем услуг мнения о качестве оказания услуг (анкета). </w:t>
      </w:r>
    </w:p>
    <w:p w:rsid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несмотря на выделенные замечания, они не носят системного характера, отмечаются в отдельных случаях, не вызывают остро-негативной реакции получателей услуг. </w:t>
      </w:r>
    </w:p>
    <w:p w:rsidR="002C0AB1" w:rsidRP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AB1">
        <w:rPr>
          <w:rFonts w:ascii="Times New Roman" w:hAnsi="Times New Roman" w:cs="Times New Roman"/>
          <w:b/>
          <w:i/>
          <w:sz w:val="28"/>
          <w:szCs w:val="28"/>
        </w:rPr>
        <w:t>Слайд №2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2C0AB1">
        <w:rPr>
          <w:rFonts w:ascii="Times New Roman" w:hAnsi="Times New Roman" w:cs="Times New Roman"/>
          <w:b/>
          <w:i/>
          <w:sz w:val="28"/>
          <w:szCs w:val="28"/>
        </w:rPr>
        <w:t>. Предложения по повышению качества условий оказания услуг, устранению выявленных проблем</w:t>
      </w:r>
    </w:p>
    <w:p w:rsid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можно сделать вывод о том, что учреждения культуры Челябинской области, в целом, соответствуют всем установленным показателям, демонстрируют позитивную динамику (учитывают «обратную связь») и успешно работают над совершенствованием системы предоставления услуг населению региона, воспринимая аудиторию не в качестве пассивного «потребителя», но как полноценного субъекта взаимодействия. </w:t>
      </w:r>
    </w:p>
    <w:p w:rsidR="002C0AB1" w:rsidRPr="00201292" w:rsidRDefault="002C0AB1" w:rsidP="002C0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По-прежнему, отдельные «уступающие» позиции связаны с обеспечением доступности услуг для 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посетителей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(показатели по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направлению работы чаще всего 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стабильно высокие </w:t>
      </w:r>
      <w:r w:rsidRPr="00F7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учреждений).  Также следует подчеркнуть, что отдельные позиции, например, при фиксации показателей в сети Интернет – не носят необходимого и востребованного характера в работе конкретных учреждений (например, в локальных территориальных районах, где информационное сопровождение обеспечивается на уровне неформальных контактов). </w:t>
      </w:r>
    </w:p>
    <w:p w:rsidR="002C0AB1" w:rsidRDefault="002C0AB1" w:rsidP="002C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можно констатировать, что условия </w:t>
      </w:r>
      <w:r>
        <w:rPr>
          <w:rFonts w:ascii="Times New Roman" w:hAnsi="Times New Roman"/>
          <w:sz w:val="28"/>
          <w:szCs w:val="28"/>
        </w:rPr>
        <w:t xml:space="preserve">пандемии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-19, во многом способствовали усовершенствованию цифровых форматов работы различных территориальных образований Челябинской области. Таким образом, многие учреждения укрепили навыки информационно-коммуникативной культуры, обеспечили высокий уровень дистанционного обслуживания. </w:t>
      </w:r>
      <w:r>
        <w:rPr>
          <w:rFonts w:ascii="Times New Roman" w:hAnsi="Times New Roman" w:cs="Times New Roman"/>
          <w:sz w:val="28"/>
          <w:szCs w:val="28"/>
        </w:rPr>
        <w:t>И после снятия ограничений на контактную работу тип потребления культурных благ с помощью удаленного доступа сохранился у значительного количества людей.</w:t>
      </w:r>
    </w:p>
    <w:p w:rsidR="002C0AB1" w:rsidRDefault="002C0AB1" w:rsidP="002C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Pr="009141BA">
        <w:rPr>
          <w:rFonts w:ascii="Times New Roman" w:hAnsi="Times New Roman" w:cs="Times New Roman"/>
          <w:b/>
          <w:i/>
          <w:sz w:val="28"/>
          <w:szCs w:val="28"/>
        </w:rPr>
        <w:t>предложения и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совершенствованию деятельности учреждений культуры и искусства Челябинской области:</w:t>
      </w:r>
    </w:p>
    <w:p w:rsidR="002C0AB1" w:rsidRDefault="002C0AB1" w:rsidP="002C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 Продолжать работу по созданию доступной среды для людей с ограниченными возможностями здоровья. Показатели по этому направлению существенно улучшились по сравнению с предыдущими периодами, однако в отдельных учреждениях еще не соответствуют установленным критериям и требованиям. </w:t>
      </w:r>
    </w:p>
    <w:p w:rsidR="003111B8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Провести работу по изучению всех необходимых сведений, размещение которых необходимо на информационных платформах (официальный сайт, группа в социальных сетях) и визуальных носителях (стенды, информационные материалы) и обеспечить включение данных позиций как необходимого направления информационно-сервисного сопровождения деятельности учреждения. Такая работа способствует открытости и доступности контактов с получателями услуг, а также обеспечивает горизонтальные связи между учреждениями и оптимизирует управленческие процессы и внешние формы контроля (оперативный доступ).</w:t>
      </w:r>
    </w:p>
    <w:p w:rsidR="002C0AB1" w:rsidRDefault="002C0AB1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0AB1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AB1">
        <w:rPr>
          <w:rFonts w:ascii="Times New Roman" w:hAnsi="Times New Roman" w:cs="Times New Roman"/>
          <w:b/>
          <w:i/>
          <w:sz w:val="28"/>
          <w:szCs w:val="28"/>
        </w:rPr>
        <w:t>Предложения по повышению качества условий оказания услуг, устранению выявленных проблем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0AB1">
        <w:rPr>
          <w:rFonts w:ascii="Times New Roman" w:hAnsi="Times New Roman" w:cs="Times New Roman"/>
          <w:i/>
          <w:sz w:val="28"/>
          <w:szCs w:val="28"/>
        </w:rPr>
        <w:t>(продолжение)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C0AB1" w:rsidRDefault="002C0AB1" w:rsidP="002C0AB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Способствовать обеспечению информационной мобильности и технического сопровождения при дистанционном взаимодействии с получателями услуг: наладить необходимые электронные сервисы для </w:t>
      </w:r>
      <w:r w:rsidRPr="009141BA">
        <w:rPr>
          <w:rFonts w:ascii="Times New Roman" w:eastAsia="Calibri" w:hAnsi="Times New Roman"/>
          <w:sz w:val="28"/>
          <w:szCs w:val="28"/>
        </w:rPr>
        <w:t>подачи обращений и вопросов</w:t>
      </w:r>
      <w:r>
        <w:rPr>
          <w:rFonts w:ascii="Times New Roman" w:eastAsia="Calibri" w:hAnsi="Times New Roman"/>
          <w:sz w:val="28"/>
          <w:szCs w:val="28"/>
        </w:rPr>
        <w:t xml:space="preserve"> от населения</w:t>
      </w:r>
      <w:r w:rsidRPr="009141BA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а также</w:t>
      </w:r>
      <w:r w:rsidRPr="009141BA">
        <w:rPr>
          <w:rFonts w:ascii="Times New Roman" w:eastAsia="Calibri" w:hAnsi="Times New Roman"/>
          <w:sz w:val="28"/>
          <w:szCs w:val="28"/>
        </w:rPr>
        <w:t xml:space="preserve"> выражения получателем услуг мнения о качестве </w:t>
      </w:r>
      <w:r>
        <w:rPr>
          <w:rFonts w:ascii="Times New Roman" w:eastAsia="Calibri" w:hAnsi="Times New Roman"/>
          <w:sz w:val="28"/>
          <w:szCs w:val="28"/>
        </w:rPr>
        <w:t xml:space="preserve">работы учреждения. </w:t>
      </w:r>
    </w:p>
    <w:p w:rsidR="002C0AB1" w:rsidRDefault="002C0AB1" w:rsidP="002C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Активизировать работу по повышению комфорта в предоставлении услуг (завершение ремонта учреждений, реконструкция отдельных зон внутри помещений, обеспечение их надлежащего санитарного состояния). </w:t>
      </w:r>
    </w:p>
    <w:p w:rsid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обращаясь к итоговому распределению результатов, можно отметить, что учреждения культуры региона, включенные в процедуру независимой оценки, как правило, демонстрировали по всем показателям устойчивые и достаточно высокие позиции.</w:t>
      </w:r>
    </w:p>
    <w:p w:rsid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показатели работы учреждений особенно важны в актуальной социальной ситуации, поскольку способствуют снижению негативных эмоций и укреплению гармонизирующих связей между социокультурными институтами и различными демографическими группами региона. </w:t>
      </w:r>
    </w:p>
    <w:p w:rsidR="002C0AB1" w:rsidRPr="002C0AB1" w:rsidRDefault="002C0AB1" w:rsidP="002C0A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0AB1">
        <w:rPr>
          <w:rFonts w:ascii="Times New Roman" w:hAnsi="Times New Roman" w:cs="Times New Roman"/>
          <w:b/>
          <w:i/>
          <w:sz w:val="28"/>
          <w:szCs w:val="28"/>
        </w:rPr>
        <w:t xml:space="preserve">Слайд №30. Спасибо за внимание! </w:t>
      </w:r>
    </w:p>
    <w:p w:rsidR="002C0AB1" w:rsidRPr="002C0AB1" w:rsidRDefault="002C0AB1" w:rsidP="001B42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0AB1" w:rsidRPr="002C0AB1" w:rsidSect="00663D1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C7" w:rsidRDefault="00606BC7" w:rsidP="00EF2C9B">
      <w:pPr>
        <w:spacing w:after="0" w:line="240" w:lineRule="auto"/>
      </w:pPr>
      <w:r>
        <w:separator/>
      </w:r>
    </w:p>
  </w:endnote>
  <w:endnote w:type="continuationSeparator" w:id="0">
    <w:p w:rsidR="00606BC7" w:rsidRDefault="00606BC7" w:rsidP="00EF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09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0AB1" w:rsidRPr="00EF2C9B" w:rsidRDefault="002C0AB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2C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C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2C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519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EF2C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0AB1" w:rsidRDefault="002C0A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C7" w:rsidRDefault="00606BC7" w:rsidP="00EF2C9B">
      <w:pPr>
        <w:spacing w:after="0" w:line="240" w:lineRule="auto"/>
      </w:pPr>
      <w:r>
        <w:separator/>
      </w:r>
    </w:p>
  </w:footnote>
  <w:footnote w:type="continuationSeparator" w:id="0">
    <w:p w:rsidR="00606BC7" w:rsidRDefault="00606BC7" w:rsidP="00EF2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45B"/>
    <w:multiLevelType w:val="hybridMultilevel"/>
    <w:tmpl w:val="718C6D1A"/>
    <w:lvl w:ilvl="0" w:tplc="F4063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A5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8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EE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CA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68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66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2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C7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697A04"/>
    <w:multiLevelType w:val="hybridMultilevel"/>
    <w:tmpl w:val="8DE031C4"/>
    <w:lvl w:ilvl="0" w:tplc="7C262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86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66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22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45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C1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0E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E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56D7"/>
    <w:multiLevelType w:val="hybridMultilevel"/>
    <w:tmpl w:val="7C1CA722"/>
    <w:lvl w:ilvl="0" w:tplc="6CCC2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0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E8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83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C5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4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2E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0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41622F"/>
    <w:multiLevelType w:val="hybridMultilevel"/>
    <w:tmpl w:val="4872D458"/>
    <w:lvl w:ilvl="0" w:tplc="AAFC0D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0034D"/>
    <w:multiLevelType w:val="hybridMultilevel"/>
    <w:tmpl w:val="A0927FAA"/>
    <w:lvl w:ilvl="0" w:tplc="02527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4A0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AFF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0E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AD9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2A7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080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013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3423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BE34B65"/>
    <w:multiLevelType w:val="hybridMultilevel"/>
    <w:tmpl w:val="70886FE4"/>
    <w:lvl w:ilvl="0" w:tplc="FFB2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6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E6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6D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0E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8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46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80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81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C544E6"/>
    <w:multiLevelType w:val="hybridMultilevel"/>
    <w:tmpl w:val="B4F6E5B0"/>
    <w:lvl w:ilvl="0" w:tplc="5C3CC2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231DD6"/>
    <w:multiLevelType w:val="multilevel"/>
    <w:tmpl w:val="A26225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3"/>
    <w:rsid w:val="0003770D"/>
    <w:rsid w:val="000F62C9"/>
    <w:rsid w:val="001B426D"/>
    <w:rsid w:val="00211DCC"/>
    <w:rsid w:val="002C0AB1"/>
    <w:rsid w:val="003111B8"/>
    <w:rsid w:val="00363AD7"/>
    <w:rsid w:val="0038550B"/>
    <w:rsid w:val="004B1FF3"/>
    <w:rsid w:val="00606AB8"/>
    <w:rsid w:val="00606BC7"/>
    <w:rsid w:val="00661FC5"/>
    <w:rsid w:val="00663D10"/>
    <w:rsid w:val="006A1EFB"/>
    <w:rsid w:val="009A108D"/>
    <w:rsid w:val="00A074B8"/>
    <w:rsid w:val="00A26C31"/>
    <w:rsid w:val="00C01C86"/>
    <w:rsid w:val="00D75A28"/>
    <w:rsid w:val="00DC5199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BB1"/>
  <w15:chartTrackingRefBased/>
  <w15:docId w15:val="{6AD2C860-35CE-4EEC-B83A-AEA3E227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A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C9B"/>
  </w:style>
  <w:style w:type="paragraph" w:styleId="a7">
    <w:name w:val="footer"/>
    <w:basedOn w:val="a"/>
    <w:link w:val="a8"/>
    <w:uiPriority w:val="99"/>
    <w:unhideWhenUsed/>
    <w:rsid w:val="00EF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11</cp:revision>
  <dcterms:created xsi:type="dcterms:W3CDTF">2022-11-12T21:36:00Z</dcterms:created>
  <dcterms:modified xsi:type="dcterms:W3CDTF">2022-11-12T22:33:00Z</dcterms:modified>
</cp:coreProperties>
</file>