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8804"/>
        </w:tabs>
        <w:spacing w:after="0" w:before="0" w:line="240" w:lineRule="auto"/>
        <w:ind w:left="0" w:right="-164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804"/>
        </w:tabs>
        <w:spacing w:after="0" w:before="0" w:line="240" w:lineRule="auto"/>
        <w:ind w:left="0" w:right="-164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vertAlign w:val="baseline"/>
          <w:rtl w:val="0"/>
        </w:rPr>
        <w:t xml:space="preserve">Коммерческое предложение </w:t>
      </w:r>
    </w:p>
    <w:p w:rsidR="00000000" w:rsidDel="00000000" w:rsidP="00000000" w:rsidRDefault="00000000" w:rsidRPr="00000000">
      <w:pPr>
        <w:tabs>
          <w:tab w:val="left" w:pos="8804"/>
        </w:tabs>
        <w:spacing w:after="0" w:before="0" w:line="240" w:lineRule="auto"/>
        <w:ind w:left="0" w:right="-164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vertAlign w:val="baseline"/>
          <w:rtl w:val="0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Стимулирование продаж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vertAlign w:val="baseline"/>
          <w:rtl w:val="0"/>
        </w:rPr>
        <w:t xml:space="preserve">"</w:t>
      </w:r>
    </w:p>
    <w:p w:rsidR="00000000" w:rsidDel="00000000" w:rsidP="00000000" w:rsidRDefault="00000000" w:rsidRPr="00000000">
      <w:pPr>
        <w:tabs>
          <w:tab w:val="left" w:pos="8804"/>
        </w:tabs>
        <w:spacing w:after="0" w:before="0" w:line="240" w:lineRule="auto"/>
        <w:ind w:left="0" w:right="-164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Маркетинг в ритейле знает, как стимулировать Ваши продажи. </w:t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Цели стимулирования: </w:t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1.Увеличить объем продаж </w:t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2.Увеличить количество пробных покупок </w:t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3.Увеличить количество повторных покупок </w:t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4.Повысить уровень лояльности потребителей </w:t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5.Расширить возможности использования товара </w:t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6.Заинтересовать потребителей продуктом </w:t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7.Сформировать осведомленность о продукте </w:t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8.Отвлечь внимание от цены </w:t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9.Заручиться поддержкой торговых посредников </w:t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10.Обеспечить дифференцированный подход к потребителям </w:t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11.Восстановить уровень восприятия бренда и отвлечь внимание от претензий </w:t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12. Сохранить уровень восприятия бренда в случае некачественного обслуживания клиентов </w:t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Мы сможем разработать отличную идею для стимулирования Ваших продаж. Предложим такие механизмы, которые будут наилучшим образом соответствовать целям промоакции. </w:t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Наш опыт позволит вам с уверенностью смотреть в будущее: Мы провели – 10 акции по стимулированию сбыта с общим товарооборотом более 132,5 миллионов рублей. </w:t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Мы понимаем, как работают компании сферы FMCG за рубежом благодаря поездкам, связанным с изучением рынка розничной торговли Великобритании, Австрии, Германии, Франции, Польши, Швейцарии, Дании, Нидерландов. </w:t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Стоимость услуг:</w:t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Идея: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60 000 рублей; </w:t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План + необходимые расчеты: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60 000 рублей; </w:t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Сопровождение: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60 000 рублей в месяц.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С уважением,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Блохин Юрий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Marketinginretail.ru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+7-912-790-53-96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drawing>
        <wp:inline distB="114300" distT="114300" distL="114300" distR="114300">
          <wp:extent cx="5943600" cy="2133600"/>
          <wp:effectExtent b="0" l="0" r="0" t="0"/>
          <wp:docPr descr="Безымянный.jpg" id="1" name="image01.jpg"/>
          <a:graphic>
            <a:graphicData uri="http://schemas.openxmlformats.org/drawingml/2006/picture">
              <pic:pic>
                <pic:nvPicPr>
                  <pic:cNvPr descr="Безымянный.jpg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133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