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CF8" w:rsidRPr="0076168D" w:rsidRDefault="00CC024D" w:rsidP="00F43CF8">
      <w:pPr>
        <w:ind w:left="142"/>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extent cx="5940425" cy="817216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172161"/>
                    </a:xfrm>
                    <a:prstGeom prst="rect">
                      <a:avLst/>
                    </a:prstGeom>
                    <a:noFill/>
                    <a:ln w="9525">
                      <a:noFill/>
                      <a:miter lim="800000"/>
                      <a:headEnd/>
                      <a:tailEnd/>
                    </a:ln>
                  </pic:spPr>
                </pic:pic>
              </a:graphicData>
            </a:graphic>
          </wp:inline>
        </w:drawing>
      </w:r>
    </w:p>
    <w:p w:rsidR="0076168D" w:rsidRPr="0076168D" w:rsidRDefault="0076168D" w:rsidP="00F43CF8">
      <w:pPr>
        <w:ind w:firstLine="709"/>
        <w:jc w:val="both"/>
        <w:rPr>
          <w:rFonts w:ascii="Times New Roman" w:hAnsi="Times New Roman" w:cs="Times New Roman"/>
          <w:b/>
          <w:sz w:val="24"/>
          <w:szCs w:val="24"/>
        </w:rPr>
      </w:pPr>
      <w:r w:rsidRPr="0076168D">
        <w:rPr>
          <w:rFonts w:ascii="Times New Roman" w:hAnsi="Times New Roman" w:cs="Times New Roman"/>
          <w:sz w:val="24"/>
          <w:szCs w:val="24"/>
        </w:rPr>
        <w:t xml:space="preserve">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  </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lastRenderedPageBreak/>
        <w:t xml:space="preserve">4. Виды потребительского займа </w:t>
      </w:r>
    </w:p>
    <w:p w:rsid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1) Потребительский заем на цели финансирования ведения ЛПХ,</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2) потребительский заем свободного назначения.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5. Суммы потребительских займов и сроки их возврата </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В Кооперативе </w:t>
      </w:r>
      <w:proofErr w:type="gramStart"/>
      <w:r w:rsidRPr="0076168D">
        <w:rPr>
          <w:rFonts w:ascii="Times New Roman" w:hAnsi="Times New Roman" w:cs="Times New Roman"/>
          <w:sz w:val="24"/>
          <w:szCs w:val="24"/>
        </w:rPr>
        <w:t>установлены</w:t>
      </w:r>
      <w:proofErr w:type="gramEnd"/>
      <w:r w:rsidRPr="0076168D">
        <w:rPr>
          <w:rFonts w:ascii="Times New Roman" w:hAnsi="Times New Roman" w:cs="Times New Roman"/>
          <w:sz w:val="24"/>
          <w:szCs w:val="24"/>
        </w:rPr>
        <w:t xml:space="preserve">:  - минимальная сумма потребительского займа: 1000 рублей,  - максимальная сумма потребительского займа: </w:t>
      </w:r>
      <w:r w:rsidR="00C16406" w:rsidRPr="00C16406">
        <w:rPr>
          <w:rFonts w:ascii="Times New Roman" w:hAnsi="Times New Roman" w:cs="Times New Roman"/>
          <w:sz w:val="24"/>
          <w:szCs w:val="24"/>
        </w:rPr>
        <w:t>6</w:t>
      </w:r>
      <w:r w:rsidRPr="0076168D">
        <w:rPr>
          <w:rFonts w:ascii="Times New Roman" w:hAnsi="Times New Roman" w:cs="Times New Roman"/>
          <w:sz w:val="24"/>
          <w:szCs w:val="24"/>
        </w:rPr>
        <w:t xml:space="preserve">00 000 рублей,  - минимальный срок возврата потребительского займа: 30 дней,  - максимальный срок возврата потребительского займа: 365 дней.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6. Валюты, в которых предоставляется потребительский заем  </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Кооператив предоставляет займы членам Кооператива в российских рублях; также в российских рублях осуществляются все платежи заёмщика по возврату и обслуживанию займа.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7. Способы предоставления потребительского займа  </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Кооператив предоставляет потребительские займы своим членам:  - посредством выдачи наличных денежных средств из кассы Кооператива,  - посредством перечисления денежных средств на банковский счет заёмщика  (включая счет пластиковой карты заёмщика).  Выдача потребительских займов с использованием электронного средства платежа не осуществляется.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8. Процентные ставки  </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Кооператив предоставляет потребительские займы с использованием фиксированных процентных ставок.  В Кооперативе </w:t>
      </w:r>
      <w:proofErr w:type="gramStart"/>
      <w:r w:rsidRPr="0076168D">
        <w:rPr>
          <w:rFonts w:ascii="Times New Roman" w:hAnsi="Times New Roman" w:cs="Times New Roman"/>
          <w:sz w:val="24"/>
          <w:szCs w:val="24"/>
        </w:rPr>
        <w:t>установлены</w:t>
      </w:r>
      <w:proofErr w:type="gramEnd"/>
      <w:r w:rsidRPr="0076168D">
        <w:rPr>
          <w:rFonts w:ascii="Times New Roman" w:hAnsi="Times New Roman" w:cs="Times New Roman"/>
          <w:sz w:val="24"/>
          <w:szCs w:val="24"/>
        </w:rPr>
        <w:t xml:space="preserve">:  - минимальная процентная ставка по потребительскому займу: </w:t>
      </w:r>
      <w:r w:rsidR="00C16406">
        <w:rPr>
          <w:rFonts w:ascii="Times New Roman" w:hAnsi="Times New Roman" w:cs="Times New Roman"/>
          <w:sz w:val="24"/>
          <w:szCs w:val="24"/>
        </w:rPr>
        <w:t>5</w:t>
      </w:r>
      <w:r w:rsidRPr="0076168D">
        <w:rPr>
          <w:rFonts w:ascii="Times New Roman" w:hAnsi="Times New Roman" w:cs="Times New Roman"/>
          <w:sz w:val="24"/>
          <w:szCs w:val="24"/>
        </w:rPr>
        <w:t xml:space="preserve"> % годовых,  - максимальная процентная ставка по потребительскому займу: 18 % годовых.  Переменные процентные ставки Кооперативом не применяются.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9. Виды и суммы иных платежей пайщика по договору займа  </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Помимо процентов за использование займа иных платежей в пользу Кооператива или третьих лиц заёмщик не осуществляет.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10. Диапазоны значений полной стоимости потребительского кредита (займа)  (далее также «ПСК»)  </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По Виду № 1 в соответствии с п. 4 настоящих Общих условий минимальное значение ПСК составляет 5 процентов годовых, максимальное значение ПСК составляет 18 процентов годовых. По Виду № 2 в соответствии с п. 4 настоящих Общих условий минимальное значение ПСК составляет 5 процентов годовых, максимальное значение ПСК составляет 18 процентов годовых.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11. Периодичность платежей заёмщика при возврате потребительского займа, уплате процентов и иных платежей по займу  </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Период между двумя следующими один за другим платежами заёмщика при возврате потребительского займа, уплате процентов и иных платежей по займу составляет  28-31 дней.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lastRenderedPageBreak/>
        <w:t xml:space="preserve">12. Способ возврата заёмщиком потребительского займа, уплаты процентов по нему  </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Заемщик осуществляет возврат потребительского займа, уплату процентов по нему следующими бесплатными способами:  - внесением сре</w:t>
      </w:r>
      <w:proofErr w:type="gramStart"/>
      <w:r w:rsidRPr="0076168D">
        <w:rPr>
          <w:rFonts w:ascii="Times New Roman" w:hAnsi="Times New Roman" w:cs="Times New Roman"/>
          <w:sz w:val="24"/>
          <w:szCs w:val="24"/>
        </w:rPr>
        <w:t>дств в к</w:t>
      </w:r>
      <w:proofErr w:type="gramEnd"/>
      <w:r w:rsidRPr="0076168D">
        <w:rPr>
          <w:rFonts w:ascii="Times New Roman" w:hAnsi="Times New Roman" w:cs="Times New Roman"/>
          <w:sz w:val="24"/>
          <w:szCs w:val="24"/>
        </w:rPr>
        <w:t xml:space="preserve">ассу Кооператива,  - перечислением средств на расчётный счёт Кооператива при осуществлении перевода средств из того же коммерческого банка, где открыт расчётный счёт Кооператива.  Кооператив не возражает против использования иных предусмотренных российским законодательством способов перевода денежных средств на свой расчётный счёт (оплата с банковской карты, электронными средствами платежа и т.п.), однако данные способы могут повлечь за собой дополнительные расходы заёмщика.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13. Сроки, в течение которых заёмщик вправе отказаться от получения потребительского займа  </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Заёмщик вправе отказаться от получения потребительского займа:   - до подписания индивидуальных условий – в любой момент,   - после подписания индивидуальных условий – до момента выдачи (получения) суммы займа.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14. Способы обеспечения исполнения обязательств по договору потребительского займа  </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Исполнение заёмщиком своих обязательств по договору потребительского займа обеспечивается применением залога и/или поручительства. Решение о применении того или иного способа (или их комбинации) принимается исполнительным органом Кооператива.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15. Ответственность заёмщика за неисполнение, несвоевременное или неполное исполнение обязательств по займу  </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За неисполнение своих денежных обязательств в части погашения основного долга и уплаты процентов по договору потребительского займа заёмщик уплачивает Кооперативу неустойку в размере </w:t>
      </w:r>
      <w:r w:rsidR="00C16406">
        <w:rPr>
          <w:rFonts w:ascii="Times New Roman" w:hAnsi="Times New Roman" w:cs="Times New Roman"/>
          <w:sz w:val="24"/>
          <w:szCs w:val="24"/>
        </w:rPr>
        <w:t xml:space="preserve">0.1 % за каждый день просрочки от остатка суммы займа </w:t>
      </w:r>
      <w:r w:rsidRPr="0076168D">
        <w:rPr>
          <w:rFonts w:ascii="Times New Roman" w:hAnsi="Times New Roman" w:cs="Times New Roman"/>
          <w:sz w:val="24"/>
          <w:szCs w:val="24"/>
        </w:rPr>
        <w:t xml:space="preserve">и исходя из фактической суммы данного нарушения.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16. Иные договоры, которые заёмщик обязан заключить и иных услугах, которые заёмщик обязан получить в связи с договором потребительского займа  </w:t>
      </w:r>
    </w:p>
    <w:p w:rsid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1) В случае, если единоличным исполнительным органом Кооператива принято решение о применении залога имущества заёмщика как способа обеспечения выполнения обязательств по договору потребительского займа, заёмщик обязан заключить </w:t>
      </w:r>
      <w:r>
        <w:rPr>
          <w:rFonts w:ascii="Times New Roman" w:hAnsi="Times New Roman" w:cs="Times New Roman"/>
          <w:sz w:val="24"/>
          <w:szCs w:val="24"/>
        </w:rPr>
        <w:t>соответствующий договор залога;</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2) В случае, если единоличным исполнительным органом Кооператива принято решение о применении залога имущества заёмщика или третьего лица как способа обеспечения выполнения обязательств по договору потребительского займа, заёмщик может заключить договор страхования залога, однако вправе отказаться от его заключения, имея в виду, что это приведёт к увеличению процентной ставки.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17. Информация о возможном увеличении сумм расходов заёмщика по сравнению с ожидаемой суммой расходов в рублях:  </w:t>
      </w:r>
    </w:p>
    <w:p w:rsid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1) в случае нарушения заёмщиков сроков и полноты возврата займа и уплаты процентов за его использование;</w:t>
      </w:r>
    </w:p>
    <w:p w:rsid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lastRenderedPageBreak/>
        <w:t xml:space="preserve"> 2) в случае отсутствия отчёта (недостоверного отчёта) об использовании целевого займа (если Кооперативом не принято решен</w:t>
      </w:r>
      <w:r>
        <w:rPr>
          <w:rFonts w:ascii="Times New Roman" w:hAnsi="Times New Roman" w:cs="Times New Roman"/>
          <w:sz w:val="24"/>
          <w:szCs w:val="24"/>
        </w:rPr>
        <w:t>ие о досрочном возврате займа);</w:t>
      </w:r>
    </w:p>
    <w:p w:rsid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3) в случае нарушения заёмщиком условия о страховании объекта залога, являющегося обеспечением исполнения обязательств по договору потребительского займа (если Кооперативом не принято решение о досрочном возврате займа).</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 Изменения валютных курсов не могут повлечь за собой увеличения суммы расходов заёмщика. Переменная процентная ставка Кооперативом не применяется.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18. Информация об определении курса иностранной валюты в случае, если валюта, в которой осуществляется перевод денежных средств Кооперативом третьему лицу, указанному заёмщиком при предоставлении потребительского займа, может отличаться от валюты потребительского займа  </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Все расчёты по договору потребительского займа осуществляются в российских рублях.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19. Информация о возможности запрета уступки Кооперативом третьим лицам прав (требований) по договору потребительского займа  </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Уступка Кооперативом прав (требований) по договору потребительского займа в пользу третьих лиц не допускается, поскольку личность Кооператива как кредитора имеет существенное значение для заёмщика.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20. Порядок предоставления заёмщиком кооперативу информации о целевом использовании займа (если такое условие оговорено в договоре)  </w:t>
      </w:r>
    </w:p>
    <w:p w:rsid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Информация о целевом использовани</w:t>
      </w:r>
      <w:r>
        <w:rPr>
          <w:rFonts w:ascii="Times New Roman" w:hAnsi="Times New Roman" w:cs="Times New Roman"/>
          <w:sz w:val="24"/>
          <w:szCs w:val="24"/>
        </w:rPr>
        <w:t>и займа передаётся Кооперативу:</w:t>
      </w:r>
    </w:p>
    <w:p w:rsid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в форме оригиналов подтверждающих документов (лично или с использованием средств почтовой связи);</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 в форме заверенных заёмщиком копий таких документов при условии, что их оригиналы предоставлены на обозрение уполномоченному лицу Кооператива.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21. Подсудность споров по искам Кооператива к заёмщику  </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Споры, подведомственные мировому суду, рассматриваются Судебным участком № </w:t>
      </w:r>
      <w:r w:rsidR="00C16406">
        <w:rPr>
          <w:rFonts w:ascii="Times New Roman" w:hAnsi="Times New Roman" w:cs="Times New Roman"/>
          <w:sz w:val="24"/>
          <w:szCs w:val="24"/>
        </w:rPr>
        <w:t>1</w:t>
      </w:r>
      <w:r w:rsidRPr="0076168D">
        <w:rPr>
          <w:rFonts w:ascii="Times New Roman" w:hAnsi="Times New Roman" w:cs="Times New Roman"/>
          <w:sz w:val="24"/>
          <w:szCs w:val="24"/>
        </w:rPr>
        <w:t xml:space="preserve"> мирового судьи </w:t>
      </w:r>
      <w:proofErr w:type="spellStart"/>
      <w:r w:rsidR="00C16406">
        <w:rPr>
          <w:rFonts w:ascii="Times New Roman" w:hAnsi="Times New Roman" w:cs="Times New Roman"/>
          <w:sz w:val="24"/>
          <w:szCs w:val="24"/>
        </w:rPr>
        <w:t>Екатериновского</w:t>
      </w:r>
      <w:proofErr w:type="spellEnd"/>
      <w:r w:rsidR="00C16406">
        <w:rPr>
          <w:rFonts w:ascii="Times New Roman" w:hAnsi="Times New Roman" w:cs="Times New Roman"/>
          <w:sz w:val="24"/>
          <w:szCs w:val="24"/>
        </w:rPr>
        <w:t xml:space="preserve"> </w:t>
      </w:r>
      <w:r w:rsidRPr="0076168D">
        <w:rPr>
          <w:rFonts w:ascii="Times New Roman" w:hAnsi="Times New Roman" w:cs="Times New Roman"/>
          <w:sz w:val="24"/>
          <w:szCs w:val="24"/>
        </w:rPr>
        <w:t xml:space="preserve"> судебного района </w:t>
      </w:r>
      <w:r w:rsidR="00C16406">
        <w:rPr>
          <w:rFonts w:ascii="Times New Roman" w:hAnsi="Times New Roman" w:cs="Times New Roman"/>
          <w:sz w:val="24"/>
          <w:szCs w:val="24"/>
        </w:rPr>
        <w:t>Саратовской области</w:t>
      </w:r>
      <w:r w:rsidRPr="0076168D">
        <w:rPr>
          <w:rFonts w:ascii="Times New Roman" w:hAnsi="Times New Roman" w:cs="Times New Roman"/>
          <w:sz w:val="24"/>
          <w:szCs w:val="24"/>
        </w:rPr>
        <w:t xml:space="preserve"> </w:t>
      </w:r>
    </w:p>
    <w:p w:rsidR="0076168D"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 xml:space="preserve">Споры, подведомственные суду общей юрисдикции, рассматриваются </w:t>
      </w:r>
      <w:proofErr w:type="spellStart"/>
      <w:r w:rsidR="00C16406">
        <w:rPr>
          <w:rFonts w:ascii="Times New Roman" w:hAnsi="Times New Roman" w:cs="Times New Roman"/>
          <w:sz w:val="24"/>
          <w:szCs w:val="24"/>
        </w:rPr>
        <w:t>Ртищевским</w:t>
      </w:r>
      <w:proofErr w:type="spellEnd"/>
      <w:r w:rsidR="00C16406">
        <w:rPr>
          <w:rFonts w:ascii="Times New Roman" w:hAnsi="Times New Roman" w:cs="Times New Roman"/>
          <w:sz w:val="24"/>
          <w:szCs w:val="24"/>
        </w:rPr>
        <w:t xml:space="preserve"> </w:t>
      </w:r>
      <w:r w:rsidRPr="0076168D">
        <w:rPr>
          <w:rFonts w:ascii="Times New Roman" w:hAnsi="Times New Roman" w:cs="Times New Roman"/>
          <w:sz w:val="24"/>
          <w:szCs w:val="24"/>
        </w:rPr>
        <w:t xml:space="preserve"> </w:t>
      </w:r>
      <w:r w:rsidR="00C16406">
        <w:rPr>
          <w:rFonts w:ascii="Times New Roman" w:hAnsi="Times New Roman" w:cs="Times New Roman"/>
          <w:sz w:val="24"/>
          <w:szCs w:val="24"/>
        </w:rPr>
        <w:t xml:space="preserve">районным </w:t>
      </w:r>
      <w:r w:rsidRPr="0076168D">
        <w:rPr>
          <w:rFonts w:ascii="Times New Roman" w:hAnsi="Times New Roman" w:cs="Times New Roman"/>
          <w:sz w:val="24"/>
          <w:szCs w:val="24"/>
        </w:rPr>
        <w:t xml:space="preserve"> судом.  </w:t>
      </w:r>
    </w:p>
    <w:p w:rsidR="0076168D" w:rsidRPr="0076168D" w:rsidRDefault="0076168D" w:rsidP="0076168D">
      <w:pPr>
        <w:jc w:val="center"/>
        <w:rPr>
          <w:rFonts w:ascii="Times New Roman" w:hAnsi="Times New Roman" w:cs="Times New Roman"/>
          <w:b/>
          <w:sz w:val="24"/>
          <w:szCs w:val="24"/>
        </w:rPr>
      </w:pPr>
      <w:r w:rsidRPr="0076168D">
        <w:rPr>
          <w:rFonts w:ascii="Times New Roman" w:hAnsi="Times New Roman" w:cs="Times New Roman"/>
          <w:b/>
          <w:sz w:val="24"/>
          <w:szCs w:val="24"/>
        </w:rPr>
        <w:t xml:space="preserve">22. Формуляры и иные стандартные формы, в которых определены общие условия договора потребительского займа  </w:t>
      </w:r>
    </w:p>
    <w:p w:rsidR="00F76678" w:rsidRPr="0076168D" w:rsidRDefault="0076168D" w:rsidP="0076168D">
      <w:pPr>
        <w:ind w:firstLine="709"/>
        <w:jc w:val="both"/>
        <w:rPr>
          <w:rFonts w:ascii="Times New Roman" w:hAnsi="Times New Roman" w:cs="Times New Roman"/>
          <w:sz w:val="24"/>
          <w:szCs w:val="24"/>
        </w:rPr>
      </w:pPr>
      <w:r w:rsidRPr="0076168D">
        <w:rPr>
          <w:rFonts w:ascii="Times New Roman" w:hAnsi="Times New Roman" w:cs="Times New Roman"/>
          <w:sz w:val="24"/>
          <w:szCs w:val="24"/>
        </w:rPr>
        <w:t>Общие условия являются исчерпывающими и не предполагают применения иных формуляров или стандартных форм.</w:t>
      </w:r>
    </w:p>
    <w:sectPr w:rsidR="00F76678" w:rsidRPr="0076168D" w:rsidSect="00E0691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6168D"/>
    <w:rsid w:val="001B6CD6"/>
    <w:rsid w:val="001C3AAE"/>
    <w:rsid w:val="004A7AB0"/>
    <w:rsid w:val="0076168D"/>
    <w:rsid w:val="009505F0"/>
    <w:rsid w:val="00C16406"/>
    <w:rsid w:val="00CC024D"/>
    <w:rsid w:val="00D04BF4"/>
    <w:rsid w:val="00E0691C"/>
    <w:rsid w:val="00F43CF8"/>
    <w:rsid w:val="00F766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9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16406"/>
    <w:rPr>
      <w:color w:val="0563C1" w:themeColor="hyperlink"/>
      <w:u w:val="single"/>
    </w:rPr>
  </w:style>
  <w:style w:type="paragraph" w:styleId="a4">
    <w:name w:val="Balloon Text"/>
    <w:basedOn w:val="a"/>
    <w:link w:val="a5"/>
    <w:uiPriority w:val="99"/>
    <w:semiHidden/>
    <w:unhideWhenUsed/>
    <w:rsid w:val="00CC02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02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1085</Words>
  <Characters>6190</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morozovandr@outlook.com</dc:creator>
  <cp:lastModifiedBy>User</cp:lastModifiedBy>
  <cp:revision>2</cp:revision>
  <cp:lastPrinted>2021-06-24T06:03:00Z</cp:lastPrinted>
  <dcterms:created xsi:type="dcterms:W3CDTF">2021-06-24T06:06:00Z</dcterms:created>
  <dcterms:modified xsi:type="dcterms:W3CDTF">2021-06-24T06:06:00Z</dcterms:modified>
</cp:coreProperties>
</file>